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04F68">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p>
    <w:p w14:paraId="7D40E627">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时间：202</w:t>
      </w:r>
      <w:r>
        <w:rPr>
          <w:rFonts w:ascii="仿宋" w:hAnsi="仿宋" w:eastAsia="仿宋" w:cs="仿宋"/>
          <w:sz w:val="28"/>
          <w:szCs w:val="28"/>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11</w:t>
      </w:r>
      <w:r>
        <w:rPr>
          <w:rFonts w:hint="eastAsia" w:ascii="仿宋" w:hAnsi="仿宋" w:eastAsia="仿宋" w:cs="仿宋"/>
          <w:sz w:val="28"/>
          <w:szCs w:val="28"/>
        </w:rPr>
        <w:t>日</w:t>
      </w:r>
    </w:p>
    <w:tbl>
      <w:tblPr>
        <w:tblStyle w:val="2"/>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407"/>
        <w:gridCol w:w="3402"/>
        <w:gridCol w:w="1985"/>
        <w:gridCol w:w="2126"/>
        <w:gridCol w:w="1276"/>
        <w:gridCol w:w="1275"/>
        <w:gridCol w:w="1036"/>
        <w:gridCol w:w="786"/>
      </w:tblGrid>
      <w:tr w14:paraId="170B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vAlign w:val="center"/>
          </w:tcPr>
          <w:p w14:paraId="326ADA6E">
            <w:pPr>
              <w:snapToGrid w:val="0"/>
              <w:spacing w:line="340" w:lineRule="atLeast"/>
              <w:jc w:val="center"/>
              <w:rPr>
                <w:rFonts w:ascii="黑体" w:hAnsi="黑体" w:eastAsia="黑体" w:cs="黑体"/>
                <w:sz w:val="24"/>
              </w:rPr>
            </w:pPr>
            <w:r>
              <w:rPr>
                <w:rFonts w:hint="eastAsia" w:ascii="黑体" w:hAnsi="黑体" w:eastAsia="黑体" w:cs="黑体"/>
                <w:sz w:val="24"/>
              </w:rPr>
              <w:t>序号</w:t>
            </w:r>
          </w:p>
        </w:tc>
        <w:tc>
          <w:tcPr>
            <w:tcW w:w="1407" w:type="dxa"/>
            <w:shd w:val="clear" w:color="auto" w:fill="auto"/>
            <w:vAlign w:val="center"/>
          </w:tcPr>
          <w:p w14:paraId="29415655">
            <w:pPr>
              <w:snapToGrid w:val="0"/>
              <w:spacing w:line="340" w:lineRule="atLeast"/>
              <w:jc w:val="center"/>
              <w:rPr>
                <w:rFonts w:ascii="黑体" w:hAnsi="黑体" w:eastAsia="黑体" w:cs="黑体"/>
                <w:sz w:val="24"/>
              </w:rPr>
            </w:pPr>
            <w:r>
              <w:rPr>
                <w:rFonts w:hint="eastAsia" w:ascii="黑体" w:hAnsi="黑体" w:eastAsia="黑体" w:cs="黑体"/>
                <w:sz w:val="24"/>
              </w:rPr>
              <w:t>成果名称</w:t>
            </w:r>
          </w:p>
        </w:tc>
        <w:tc>
          <w:tcPr>
            <w:tcW w:w="3402" w:type="dxa"/>
            <w:shd w:val="clear" w:color="auto" w:fill="auto"/>
            <w:vAlign w:val="center"/>
          </w:tcPr>
          <w:p w14:paraId="68805681">
            <w:pPr>
              <w:snapToGrid w:val="0"/>
              <w:spacing w:line="340" w:lineRule="atLeast"/>
              <w:jc w:val="center"/>
              <w:rPr>
                <w:rFonts w:ascii="黑体" w:hAnsi="黑体" w:eastAsia="黑体" w:cs="黑体"/>
                <w:sz w:val="24"/>
              </w:rPr>
            </w:pPr>
            <w:r>
              <w:rPr>
                <w:rFonts w:hint="eastAsia" w:ascii="黑体" w:hAnsi="黑体" w:eastAsia="黑体" w:cs="黑体"/>
                <w:sz w:val="24"/>
              </w:rPr>
              <w:t>成果内容摘要</w:t>
            </w:r>
          </w:p>
        </w:tc>
        <w:tc>
          <w:tcPr>
            <w:tcW w:w="1985" w:type="dxa"/>
            <w:shd w:val="clear" w:color="auto" w:fill="auto"/>
            <w:vAlign w:val="center"/>
          </w:tcPr>
          <w:p w14:paraId="178E8894">
            <w:pPr>
              <w:snapToGrid w:val="0"/>
              <w:spacing w:line="340" w:lineRule="atLeast"/>
              <w:jc w:val="center"/>
              <w:rPr>
                <w:rFonts w:ascii="黑体" w:hAnsi="黑体" w:eastAsia="黑体" w:cs="黑体"/>
                <w:sz w:val="24"/>
              </w:rPr>
            </w:pPr>
            <w:r>
              <w:rPr>
                <w:rFonts w:hint="eastAsia" w:ascii="黑体" w:hAnsi="黑体" w:eastAsia="黑体" w:cs="黑体"/>
                <w:sz w:val="24"/>
              </w:rPr>
              <w:t>成果完成人</w:t>
            </w:r>
          </w:p>
        </w:tc>
        <w:tc>
          <w:tcPr>
            <w:tcW w:w="2126" w:type="dxa"/>
            <w:shd w:val="clear" w:color="auto" w:fill="auto"/>
            <w:vAlign w:val="center"/>
          </w:tcPr>
          <w:p w14:paraId="24C94472">
            <w:pPr>
              <w:snapToGrid w:val="0"/>
              <w:spacing w:line="340" w:lineRule="atLeast"/>
              <w:jc w:val="center"/>
              <w:rPr>
                <w:rFonts w:ascii="黑体" w:hAnsi="黑体" w:eastAsia="黑体" w:cs="黑体"/>
                <w:sz w:val="24"/>
              </w:rPr>
            </w:pPr>
            <w:r>
              <w:rPr>
                <w:rFonts w:hint="eastAsia" w:ascii="黑体" w:hAnsi="黑体" w:eastAsia="黑体" w:cs="黑体"/>
                <w:sz w:val="24"/>
              </w:rPr>
              <w:t>赋权类型</w:t>
            </w:r>
          </w:p>
        </w:tc>
        <w:tc>
          <w:tcPr>
            <w:tcW w:w="1276" w:type="dxa"/>
            <w:shd w:val="clear" w:color="auto" w:fill="auto"/>
            <w:vAlign w:val="center"/>
          </w:tcPr>
          <w:p w14:paraId="72A46BFF">
            <w:pPr>
              <w:snapToGrid w:val="0"/>
              <w:spacing w:line="340" w:lineRule="atLeast"/>
              <w:jc w:val="center"/>
              <w:rPr>
                <w:rFonts w:ascii="黑体" w:hAnsi="黑体" w:eastAsia="黑体" w:cs="黑体"/>
                <w:sz w:val="24"/>
              </w:rPr>
            </w:pPr>
            <w:r>
              <w:rPr>
                <w:rFonts w:hint="eastAsia" w:ascii="黑体" w:hAnsi="黑体" w:eastAsia="黑体" w:cs="黑体"/>
                <w:sz w:val="24"/>
              </w:rPr>
              <w:t>转化</w:t>
            </w:r>
          </w:p>
          <w:p w14:paraId="08C7C869">
            <w:pPr>
              <w:snapToGrid w:val="0"/>
              <w:spacing w:line="340" w:lineRule="atLeast"/>
              <w:jc w:val="center"/>
              <w:rPr>
                <w:rFonts w:ascii="黑体" w:hAnsi="黑体" w:eastAsia="黑体" w:cs="黑体"/>
                <w:sz w:val="24"/>
              </w:rPr>
            </w:pPr>
            <w:r>
              <w:rPr>
                <w:rFonts w:hint="eastAsia" w:ascii="黑体" w:hAnsi="黑体" w:eastAsia="黑体" w:cs="黑体"/>
                <w:sz w:val="24"/>
              </w:rPr>
              <w:t>方式</w:t>
            </w:r>
          </w:p>
        </w:tc>
        <w:tc>
          <w:tcPr>
            <w:tcW w:w="1275" w:type="dxa"/>
            <w:shd w:val="clear" w:color="auto" w:fill="auto"/>
            <w:vAlign w:val="center"/>
          </w:tcPr>
          <w:p w14:paraId="67E92FDD">
            <w:pPr>
              <w:snapToGrid w:val="0"/>
              <w:spacing w:line="340" w:lineRule="atLeast"/>
              <w:jc w:val="center"/>
              <w:rPr>
                <w:rFonts w:ascii="黑体" w:hAnsi="黑体" w:eastAsia="黑体" w:cs="黑体"/>
                <w:sz w:val="24"/>
              </w:rPr>
            </w:pPr>
            <w:r>
              <w:rPr>
                <w:rFonts w:hint="eastAsia" w:ascii="黑体" w:hAnsi="黑体" w:eastAsia="黑体" w:cs="黑体"/>
                <w:sz w:val="24"/>
              </w:rPr>
              <w:t>交易金额（万元）</w:t>
            </w:r>
          </w:p>
        </w:tc>
        <w:tc>
          <w:tcPr>
            <w:tcW w:w="1036" w:type="dxa"/>
            <w:shd w:val="clear" w:color="auto" w:fill="auto"/>
            <w:vAlign w:val="center"/>
          </w:tcPr>
          <w:p w14:paraId="6F8C7F9F">
            <w:pPr>
              <w:snapToGrid w:val="0"/>
              <w:spacing w:line="340" w:lineRule="atLeast"/>
              <w:jc w:val="center"/>
              <w:rPr>
                <w:rFonts w:ascii="黑体" w:hAnsi="黑体" w:eastAsia="黑体" w:cs="黑体"/>
                <w:sz w:val="24"/>
              </w:rPr>
            </w:pPr>
            <w:r>
              <w:rPr>
                <w:rFonts w:hint="eastAsia" w:ascii="黑体" w:hAnsi="黑体" w:eastAsia="黑体" w:cs="黑体"/>
                <w:sz w:val="24"/>
              </w:rPr>
              <w:t>受让方</w:t>
            </w:r>
          </w:p>
        </w:tc>
        <w:tc>
          <w:tcPr>
            <w:tcW w:w="786" w:type="dxa"/>
            <w:shd w:val="clear" w:color="auto" w:fill="auto"/>
            <w:vAlign w:val="center"/>
          </w:tcPr>
          <w:p w14:paraId="66207135">
            <w:pPr>
              <w:snapToGrid w:val="0"/>
              <w:spacing w:line="340" w:lineRule="atLeast"/>
              <w:jc w:val="center"/>
              <w:rPr>
                <w:rFonts w:ascii="黑体" w:hAnsi="黑体" w:eastAsia="黑体" w:cs="黑体"/>
                <w:sz w:val="24"/>
              </w:rPr>
            </w:pPr>
            <w:r>
              <w:rPr>
                <w:rFonts w:hint="eastAsia" w:ascii="黑体" w:hAnsi="黑体" w:eastAsia="黑体" w:cs="黑体"/>
                <w:sz w:val="24"/>
              </w:rPr>
              <w:t>备注</w:t>
            </w:r>
          </w:p>
        </w:tc>
      </w:tr>
      <w:tr w14:paraId="092F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1E9CEB40">
            <w:pPr>
              <w:snapToGrid w:val="0"/>
              <w:spacing w:line="340" w:lineRule="atLeast"/>
              <w:jc w:val="center"/>
              <w:rPr>
                <w:rFonts w:ascii="黑体" w:hAnsi="黑体" w:eastAsia="黑体" w:cs="黑体"/>
                <w:sz w:val="24"/>
              </w:rPr>
            </w:pPr>
            <w:r>
              <w:rPr>
                <w:rFonts w:hint="eastAsia" w:ascii="黑体" w:hAnsi="黑体" w:eastAsia="黑体" w:cs="黑体"/>
                <w:sz w:val="24"/>
              </w:rPr>
              <w:t>1</w:t>
            </w:r>
          </w:p>
        </w:tc>
        <w:tc>
          <w:tcPr>
            <w:tcW w:w="1407" w:type="dxa"/>
            <w:shd w:val="clear" w:color="auto" w:fill="auto"/>
            <w:vAlign w:val="center"/>
          </w:tcPr>
          <w:p w14:paraId="4AD6C224">
            <w:pPr>
              <w:snapToGrid w:val="0"/>
              <w:spacing w:line="340" w:lineRule="atLeast"/>
              <w:jc w:val="center"/>
              <w:rPr>
                <w:rFonts w:ascii="仿宋" w:hAnsi="仿宋" w:eastAsia="仿宋" w:cs="仿宋"/>
                <w:snapToGrid w:val="0"/>
                <w:color w:val="000000"/>
                <w:spacing w:val="-4"/>
                <w:kern w:val="0"/>
                <w:sz w:val="24"/>
              </w:rPr>
            </w:pPr>
            <w:r>
              <w:rPr>
                <w:rFonts w:hint="eastAsia" w:ascii="仿宋" w:hAnsi="仿宋" w:eastAsia="仿宋" w:cs="仿宋"/>
                <w:szCs w:val="21"/>
              </w:rPr>
              <w:t>一种在线/离线V2G系统的轻量级安全认证方法及系统</w:t>
            </w:r>
          </w:p>
        </w:tc>
        <w:tc>
          <w:tcPr>
            <w:tcW w:w="3402" w:type="dxa"/>
            <w:shd w:val="clear" w:color="auto" w:fill="auto"/>
            <w:vAlign w:val="center"/>
          </w:tcPr>
          <w:p w14:paraId="157E845C">
            <w:pPr>
              <w:spacing w:before="78" w:line="340" w:lineRule="atLeast"/>
              <w:ind w:firstLine="420" w:firstLineChars="200"/>
              <w:jc w:val="left"/>
              <w:rPr>
                <w:rFonts w:ascii="仿宋" w:hAnsi="仿宋" w:eastAsia="仿宋" w:cs="仿宋"/>
                <w:snapToGrid w:val="0"/>
                <w:color w:val="000000"/>
                <w:spacing w:val="-4"/>
                <w:kern w:val="0"/>
                <w:sz w:val="24"/>
              </w:rPr>
            </w:pPr>
            <w:r>
              <w:rPr>
                <w:rFonts w:hint="eastAsia" w:ascii="仿宋" w:hAnsi="仿宋" w:eastAsia="仿宋" w:cs="仿宋"/>
                <w:szCs w:val="21"/>
              </w:rPr>
              <w:t>本发明提出了一种在线/离线 V2G 认证系统，允许可信权威机构 TA 在离线阶段为车辆分配匿名身份和私钥，并且进行预计算签名的部分生成和认证步骤，得到预计算集合。利用该预计算集合，一旦给定请求消息，电动汽车和聚合器式充/放电站分别于在线阶段快速生成认证签名、完成安全验证。</w:t>
            </w:r>
          </w:p>
        </w:tc>
        <w:tc>
          <w:tcPr>
            <w:tcW w:w="1985" w:type="dxa"/>
            <w:shd w:val="clear" w:color="auto" w:fill="auto"/>
            <w:vAlign w:val="center"/>
          </w:tcPr>
          <w:p w14:paraId="703C5041">
            <w:pPr>
              <w:snapToGrid w:val="0"/>
              <w:spacing w:line="340" w:lineRule="atLeast"/>
              <w:jc w:val="left"/>
              <w:rPr>
                <w:rFonts w:ascii="仿宋" w:hAnsi="仿宋" w:eastAsia="仿宋" w:cs="仿宋"/>
                <w:snapToGrid w:val="0"/>
                <w:color w:val="000000"/>
                <w:spacing w:val="-4"/>
                <w:kern w:val="0"/>
                <w:sz w:val="24"/>
              </w:rPr>
            </w:pPr>
            <w:r>
              <w:rPr>
                <w:rFonts w:hint="eastAsia" w:ascii="仿宋" w:hAnsi="仿宋" w:eastAsia="仿宋" w:cs="仿宋"/>
                <w:szCs w:val="21"/>
              </w:rPr>
              <w:t>张平原，王利敏，王明，朱亮，李健勇</w:t>
            </w:r>
          </w:p>
        </w:tc>
        <w:tc>
          <w:tcPr>
            <w:tcW w:w="2126" w:type="dxa"/>
            <w:shd w:val="clear" w:color="auto" w:fill="auto"/>
            <w:vAlign w:val="center"/>
          </w:tcPr>
          <w:p w14:paraId="22989215">
            <w:pPr>
              <w:snapToGrid w:val="0"/>
              <w:spacing w:line="340" w:lineRule="atLeast"/>
              <w:rPr>
                <w:rFonts w:ascii="仿宋" w:hAnsi="仿宋" w:eastAsia="仿宋" w:cs="仿宋"/>
                <w:snapToGrid w:val="0"/>
                <w:color w:val="000000"/>
                <w:spacing w:val="-4"/>
                <w:kern w:val="0"/>
                <w:sz w:val="24"/>
              </w:rPr>
            </w:pPr>
            <w:r>
              <w:rPr>
                <w:rFonts w:hint="eastAsia" w:ascii="仿宋" w:hAnsi="仿宋" w:eastAsia="仿宋" w:cs="仿宋"/>
                <w:snapToGrid w:val="0"/>
                <w:color w:val="000000"/>
                <w:spacing w:val="-4"/>
                <w:kern w:val="0"/>
                <w:sz w:val="24"/>
              </w:rPr>
              <w:t>长期使用权（10年）</w:t>
            </w:r>
          </w:p>
        </w:tc>
        <w:tc>
          <w:tcPr>
            <w:tcW w:w="1276" w:type="dxa"/>
            <w:shd w:val="clear" w:color="auto" w:fill="auto"/>
            <w:vAlign w:val="center"/>
          </w:tcPr>
          <w:p w14:paraId="4A96863E">
            <w:pPr>
              <w:spacing w:line="340" w:lineRule="atLeast"/>
              <w:jc w:val="center"/>
              <w:rPr>
                <w:rFonts w:ascii="仿宋" w:hAnsi="仿宋" w:eastAsia="仿宋" w:cs="仿宋"/>
                <w:sz w:val="24"/>
              </w:rPr>
            </w:pPr>
          </w:p>
          <w:p w14:paraId="2D6A311B">
            <w:pPr>
              <w:spacing w:line="340" w:lineRule="atLeast"/>
              <w:jc w:val="center"/>
              <w:rPr>
                <w:rFonts w:ascii="仿宋" w:hAnsi="仿宋" w:eastAsia="仿宋" w:cs="仿宋"/>
                <w:sz w:val="24"/>
              </w:rPr>
            </w:pPr>
            <w:r>
              <w:rPr>
                <w:rFonts w:hint="eastAsia" w:ascii="仿宋" w:hAnsi="仿宋" w:eastAsia="仿宋" w:cs="仿宋"/>
                <w:sz w:val="24"/>
              </w:rPr>
              <w:t>技术许可</w:t>
            </w:r>
          </w:p>
          <w:p w14:paraId="32A705EA">
            <w:pPr>
              <w:spacing w:line="340" w:lineRule="atLeast"/>
              <w:jc w:val="center"/>
              <w:rPr>
                <w:rFonts w:ascii="仿宋" w:hAnsi="仿宋" w:eastAsia="仿宋" w:cs="仿宋"/>
                <w:sz w:val="24"/>
              </w:rPr>
            </w:pPr>
          </w:p>
        </w:tc>
        <w:tc>
          <w:tcPr>
            <w:tcW w:w="1275" w:type="dxa"/>
            <w:shd w:val="clear" w:color="auto" w:fill="auto"/>
            <w:vAlign w:val="center"/>
          </w:tcPr>
          <w:p w14:paraId="727FBC7F">
            <w:pPr>
              <w:spacing w:line="340" w:lineRule="atLeast"/>
              <w:jc w:val="center"/>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.1</w:t>
            </w:r>
          </w:p>
        </w:tc>
        <w:tc>
          <w:tcPr>
            <w:tcW w:w="1036" w:type="dxa"/>
            <w:shd w:val="clear" w:color="auto" w:fill="auto"/>
            <w:vAlign w:val="center"/>
          </w:tcPr>
          <w:p w14:paraId="2C8BA89C">
            <w:pPr>
              <w:spacing w:line="340" w:lineRule="atLeast"/>
              <w:jc w:val="center"/>
              <w:rPr>
                <w:rFonts w:ascii="仿宋" w:hAnsi="仿宋" w:eastAsia="仿宋" w:cs="仿宋"/>
                <w:snapToGrid w:val="0"/>
                <w:color w:val="000000"/>
                <w:spacing w:val="-3"/>
                <w:kern w:val="0"/>
                <w:sz w:val="24"/>
              </w:rPr>
            </w:pPr>
            <w:r>
              <w:rPr>
                <w:rFonts w:hint="eastAsia" w:ascii="仿宋" w:hAnsi="仿宋" w:eastAsia="仿宋" w:cs="仿宋"/>
                <w:snapToGrid w:val="0"/>
                <w:color w:val="000000"/>
                <w:spacing w:val="-3"/>
                <w:kern w:val="0"/>
                <w:sz w:val="24"/>
              </w:rPr>
              <w:t>河南子贤信息科技有限公司</w:t>
            </w:r>
          </w:p>
        </w:tc>
        <w:tc>
          <w:tcPr>
            <w:tcW w:w="786" w:type="dxa"/>
            <w:shd w:val="clear" w:color="auto" w:fill="auto"/>
            <w:vAlign w:val="center"/>
          </w:tcPr>
          <w:p w14:paraId="2D7B1760">
            <w:pPr>
              <w:spacing w:line="340" w:lineRule="atLeast"/>
              <w:jc w:val="center"/>
              <w:rPr>
                <w:rFonts w:ascii="仿宋" w:hAnsi="仿宋" w:eastAsia="仿宋" w:cs="仿宋"/>
                <w:sz w:val="28"/>
                <w:szCs w:val="28"/>
              </w:rPr>
            </w:pPr>
          </w:p>
        </w:tc>
      </w:tr>
      <w:tr w14:paraId="50F3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03A39138">
            <w:pPr>
              <w:snapToGrid w:val="0"/>
              <w:spacing w:line="340" w:lineRule="atLeast"/>
              <w:jc w:val="center"/>
              <w:rPr>
                <w:rFonts w:ascii="黑体" w:hAnsi="黑体" w:eastAsia="黑体" w:cs="黑体"/>
                <w:sz w:val="24"/>
              </w:rPr>
            </w:pPr>
            <w:r>
              <w:rPr>
                <w:rFonts w:hint="eastAsia" w:ascii="黑体" w:hAnsi="黑体" w:eastAsia="黑体" w:cs="黑体"/>
                <w:sz w:val="24"/>
              </w:rPr>
              <w:t>2</w:t>
            </w:r>
          </w:p>
        </w:tc>
        <w:tc>
          <w:tcPr>
            <w:tcW w:w="1407" w:type="dxa"/>
            <w:shd w:val="clear" w:color="auto" w:fill="auto"/>
            <w:vAlign w:val="center"/>
          </w:tcPr>
          <w:p w14:paraId="220F38E3">
            <w:pPr>
              <w:snapToGrid w:val="0"/>
              <w:spacing w:line="340" w:lineRule="atLeast"/>
              <w:jc w:val="center"/>
              <w:rPr>
                <w:rFonts w:ascii="仿宋" w:hAnsi="仿宋" w:eastAsia="仿宋" w:cs="仿宋"/>
                <w:snapToGrid w:val="0"/>
                <w:color w:val="000000"/>
                <w:spacing w:val="-4"/>
                <w:kern w:val="0"/>
                <w:sz w:val="24"/>
              </w:rPr>
            </w:pPr>
            <w:r>
              <w:rPr>
                <w:rFonts w:hint="eastAsia" w:ascii="仿宋" w:hAnsi="仿宋" w:eastAsia="仿宋" w:cs="仿宋"/>
                <w:szCs w:val="21"/>
              </w:rPr>
              <w:t>一种基于用户画像的可定制位置隐私保护方法及系统</w:t>
            </w:r>
          </w:p>
        </w:tc>
        <w:tc>
          <w:tcPr>
            <w:tcW w:w="3402" w:type="dxa"/>
            <w:shd w:val="clear" w:color="auto" w:fill="auto"/>
            <w:vAlign w:val="center"/>
          </w:tcPr>
          <w:p w14:paraId="4DE0E9C1">
            <w:pPr>
              <w:spacing w:before="78" w:line="340" w:lineRule="atLeast"/>
              <w:ind w:firstLine="420" w:firstLineChars="200"/>
              <w:jc w:val="left"/>
              <w:rPr>
                <w:rFonts w:ascii="仿宋" w:hAnsi="仿宋" w:eastAsia="仿宋" w:cs="仿宋"/>
                <w:snapToGrid w:val="0"/>
                <w:color w:val="000000"/>
                <w:spacing w:val="-4"/>
                <w:kern w:val="0"/>
                <w:sz w:val="24"/>
              </w:rPr>
            </w:pPr>
            <w:r>
              <w:rPr>
                <w:rFonts w:hint="eastAsia" w:ascii="仿宋" w:hAnsi="仿宋" w:eastAsia="仿宋" w:cs="仿宋"/>
                <w:szCs w:val="21"/>
              </w:rPr>
              <w:t>本发明提出了一种基于用户画像的可定制位置隐私保护方法及系统，其方法包括：构建可定制的位置隐私保护系统框架；提出客户端与客户端的安全通信机制，通过服务请求发生时通过附近移动节点相互协作，临时构建去中心化通信网络，将位置数据与特定用户物理隔离；建立用户画像模型，通过三层分类器和猎奇心理度量模型对用户的基本属性和心理特性进行分析处理；服务器从用户位置信息、位置熟悉度和临时事件三个方面分析，向用户推荐隐私保护的强度；用户本地端再根据本地情景信息，对隐私保护等级进行动态调整。</w:t>
            </w:r>
          </w:p>
        </w:tc>
        <w:tc>
          <w:tcPr>
            <w:tcW w:w="1985" w:type="dxa"/>
            <w:shd w:val="clear" w:color="auto" w:fill="auto"/>
            <w:vAlign w:val="center"/>
          </w:tcPr>
          <w:p w14:paraId="008FDA24">
            <w:pPr>
              <w:snapToGrid w:val="0"/>
              <w:jc w:val="center"/>
              <w:rPr>
                <w:rFonts w:ascii="仿宋" w:hAnsi="仿宋" w:eastAsia="仿宋" w:cs="仿宋"/>
                <w:szCs w:val="21"/>
              </w:rPr>
            </w:pPr>
            <w:r>
              <w:rPr>
                <w:rFonts w:hint="eastAsia" w:ascii="仿宋" w:hAnsi="仿宋" w:eastAsia="仿宋" w:cs="仿宋"/>
                <w:szCs w:val="21"/>
              </w:rPr>
              <w:t>朱亮，蔡增玉，余丽萍，刘啸威，张建伟，冯媛，司亚捷</w:t>
            </w:r>
          </w:p>
        </w:tc>
        <w:tc>
          <w:tcPr>
            <w:tcW w:w="2126" w:type="dxa"/>
            <w:shd w:val="clear" w:color="auto" w:fill="auto"/>
            <w:vAlign w:val="center"/>
          </w:tcPr>
          <w:p w14:paraId="0C9372D0">
            <w:pPr>
              <w:snapToGrid w:val="0"/>
              <w:spacing w:line="340" w:lineRule="atLeast"/>
              <w:rPr>
                <w:rFonts w:ascii="仿宋" w:hAnsi="仿宋" w:eastAsia="仿宋" w:cs="仿宋"/>
                <w:snapToGrid w:val="0"/>
                <w:color w:val="000000"/>
                <w:spacing w:val="-4"/>
                <w:kern w:val="0"/>
                <w:sz w:val="24"/>
              </w:rPr>
            </w:pPr>
            <w:r>
              <w:rPr>
                <w:rFonts w:hint="eastAsia" w:ascii="仿宋" w:hAnsi="仿宋" w:eastAsia="仿宋" w:cs="仿宋"/>
                <w:snapToGrid w:val="0"/>
                <w:color w:val="000000"/>
                <w:spacing w:val="-4"/>
                <w:kern w:val="0"/>
                <w:sz w:val="24"/>
              </w:rPr>
              <w:t>长期使用权（10年）</w:t>
            </w:r>
          </w:p>
        </w:tc>
        <w:tc>
          <w:tcPr>
            <w:tcW w:w="1276" w:type="dxa"/>
            <w:shd w:val="clear" w:color="auto" w:fill="auto"/>
            <w:vAlign w:val="center"/>
          </w:tcPr>
          <w:p w14:paraId="62C5580C">
            <w:pPr>
              <w:spacing w:line="340" w:lineRule="atLeast"/>
              <w:jc w:val="center"/>
              <w:rPr>
                <w:rFonts w:ascii="仿宋" w:hAnsi="仿宋" w:eastAsia="仿宋" w:cs="仿宋"/>
                <w:sz w:val="24"/>
              </w:rPr>
            </w:pPr>
          </w:p>
          <w:p w14:paraId="6F57BB11">
            <w:pPr>
              <w:spacing w:line="340" w:lineRule="atLeast"/>
              <w:jc w:val="center"/>
              <w:rPr>
                <w:rFonts w:ascii="仿宋" w:hAnsi="仿宋" w:eastAsia="仿宋" w:cs="仿宋"/>
                <w:sz w:val="24"/>
              </w:rPr>
            </w:pPr>
            <w:r>
              <w:rPr>
                <w:rFonts w:hint="eastAsia" w:ascii="仿宋" w:hAnsi="仿宋" w:eastAsia="仿宋" w:cs="仿宋"/>
                <w:sz w:val="24"/>
              </w:rPr>
              <w:t>技术许可</w:t>
            </w:r>
          </w:p>
          <w:p w14:paraId="1F97E8AC">
            <w:pPr>
              <w:spacing w:line="340" w:lineRule="atLeast"/>
              <w:jc w:val="center"/>
              <w:rPr>
                <w:rFonts w:ascii="仿宋" w:hAnsi="仿宋" w:eastAsia="仿宋" w:cs="仿宋"/>
                <w:sz w:val="24"/>
              </w:rPr>
            </w:pPr>
          </w:p>
        </w:tc>
        <w:tc>
          <w:tcPr>
            <w:tcW w:w="1275" w:type="dxa"/>
            <w:shd w:val="clear" w:color="auto" w:fill="auto"/>
            <w:vAlign w:val="center"/>
          </w:tcPr>
          <w:p w14:paraId="45AFEFF4">
            <w:pPr>
              <w:spacing w:line="340" w:lineRule="atLeast"/>
              <w:jc w:val="center"/>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.1</w:t>
            </w:r>
          </w:p>
        </w:tc>
        <w:tc>
          <w:tcPr>
            <w:tcW w:w="1036" w:type="dxa"/>
            <w:shd w:val="clear" w:color="auto" w:fill="auto"/>
            <w:vAlign w:val="center"/>
          </w:tcPr>
          <w:p w14:paraId="71DA8D1C">
            <w:pPr>
              <w:spacing w:line="340" w:lineRule="atLeast"/>
              <w:jc w:val="center"/>
              <w:rPr>
                <w:rFonts w:ascii="仿宋" w:hAnsi="仿宋" w:eastAsia="仿宋" w:cs="仿宋"/>
                <w:snapToGrid w:val="0"/>
                <w:color w:val="000000"/>
                <w:spacing w:val="-3"/>
                <w:kern w:val="0"/>
                <w:sz w:val="24"/>
              </w:rPr>
            </w:pPr>
            <w:r>
              <w:rPr>
                <w:rFonts w:hint="eastAsia" w:ascii="仿宋" w:hAnsi="仿宋" w:eastAsia="仿宋" w:cs="仿宋"/>
                <w:snapToGrid w:val="0"/>
                <w:color w:val="000000"/>
                <w:spacing w:val="-3"/>
                <w:kern w:val="0"/>
                <w:sz w:val="24"/>
              </w:rPr>
              <w:t>河南子贤信息科技有限公司</w:t>
            </w:r>
          </w:p>
        </w:tc>
        <w:tc>
          <w:tcPr>
            <w:tcW w:w="786" w:type="dxa"/>
            <w:shd w:val="clear" w:color="auto" w:fill="auto"/>
            <w:vAlign w:val="center"/>
          </w:tcPr>
          <w:p w14:paraId="17734C05">
            <w:pPr>
              <w:spacing w:line="340" w:lineRule="atLeast"/>
              <w:jc w:val="center"/>
              <w:rPr>
                <w:rFonts w:ascii="仿宋" w:hAnsi="仿宋" w:eastAsia="仿宋" w:cs="仿宋"/>
                <w:sz w:val="28"/>
                <w:szCs w:val="28"/>
              </w:rPr>
            </w:pPr>
          </w:p>
        </w:tc>
      </w:tr>
      <w:tr w14:paraId="2340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6E68D670">
            <w:pPr>
              <w:snapToGrid w:val="0"/>
              <w:spacing w:line="340" w:lineRule="atLeast"/>
              <w:jc w:val="center"/>
              <w:rPr>
                <w:rFonts w:ascii="黑体" w:hAnsi="黑体" w:eastAsia="黑体" w:cs="黑体"/>
                <w:sz w:val="24"/>
              </w:rPr>
            </w:pPr>
            <w:r>
              <w:rPr>
                <w:rFonts w:hint="eastAsia" w:ascii="黑体" w:hAnsi="黑体" w:eastAsia="黑体" w:cs="黑体"/>
                <w:sz w:val="24"/>
              </w:rPr>
              <w:t>3</w:t>
            </w:r>
          </w:p>
        </w:tc>
        <w:tc>
          <w:tcPr>
            <w:tcW w:w="1407" w:type="dxa"/>
            <w:shd w:val="clear" w:color="auto" w:fill="auto"/>
            <w:vAlign w:val="center"/>
          </w:tcPr>
          <w:p w14:paraId="6354D73A">
            <w:pPr>
              <w:snapToGrid w:val="0"/>
              <w:spacing w:line="340" w:lineRule="atLeast"/>
              <w:jc w:val="center"/>
              <w:rPr>
                <w:rFonts w:ascii="仿宋" w:hAnsi="仿宋" w:eastAsia="仿宋" w:cs="仿宋"/>
                <w:snapToGrid w:val="0"/>
                <w:color w:val="000000"/>
                <w:spacing w:val="-4"/>
                <w:kern w:val="0"/>
                <w:sz w:val="24"/>
              </w:rPr>
            </w:pPr>
            <w:r>
              <w:rPr>
                <w:rFonts w:hint="eastAsia" w:ascii="仿宋" w:hAnsi="仿宋" w:eastAsia="仿宋" w:cs="仿宋"/>
                <w:snapToGrid w:val="0"/>
                <w:color w:val="000000"/>
                <w:spacing w:val="-4"/>
                <w:kern w:val="0"/>
                <w:sz w:val="24"/>
                <w:szCs w:val="24"/>
                <w:lang w:val="en-US" w:eastAsia="zh-CN" w:bidi="ar-SA"/>
              </w:rPr>
              <w:t>适用于台阶式地形的攀爬装置及自适应方法</w:t>
            </w:r>
          </w:p>
        </w:tc>
        <w:tc>
          <w:tcPr>
            <w:tcW w:w="3402" w:type="dxa"/>
            <w:shd w:val="clear" w:color="auto" w:fill="auto"/>
            <w:vAlign w:val="center"/>
          </w:tcPr>
          <w:p w14:paraId="1EFD2EF9">
            <w:pPr>
              <w:spacing w:before="78" w:line="340" w:lineRule="atLeast"/>
              <w:ind w:firstLine="464" w:firstLineChars="200"/>
              <w:jc w:val="left"/>
              <w:rPr>
                <w:rFonts w:ascii="仿宋" w:hAnsi="仿宋" w:eastAsia="仿宋" w:cs="仿宋"/>
                <w:snapToGrid w:val="0"/>
                <w:color w:val="000000"/>
                <w:spacing w:val="-4"/>
                <w:kern w:val="0"/>
                <w:sz w:val="24"/>
              </w:rPr>
            </w:pPr>
            <w:r>
              <w:rPr>
                <w:rFonts w:hint="eastAsia" w:ascii="仿宋" w:hAnsi="仿宋" w:eastAsia="仿宋" w:cs="仿宋"/>
                <w:snapToGrid w:val="0"/>
                <w:color w:val="000000"/>
                <w:spacing w:val="-4"/>
                <w:kern w:val="0"/>
                <w:sz w:val="24"/>
                <w:szCs w:val="24"/>
                <w:lang w:val="en-US" w:eastAsia="zh-CN" w:bidi="ar-SA"/>
              </w:rPr>
              <w:t>本发明公开了一种适用于台阶式地形的攀爬装置及自适应方法，可以适应多种地形，便于肢体残障人士或者行动不便人士出行，本攀爬装置在台阶式地形或者坡度地形，可以先获取台阶式地形或者坡度地形的坡度，进而智能关联调整座椅组件的水平倾角，避免在爬升的过程中发生倾倒。</w:t>
            </w:r>
          </w:p>
        </w:tc>
        <w:tc>
          <w:tcPr>
            <w:tcW w:w="1985" w:type="dxa"/>
            <w:shd w:val="clear" w:color="auto" w:fill="auto"/>
            <w:vAlign w:val="center"/>
          </w:tcPr>
          <w:p w14:paraId="281DB7F4">
            <w:pPr>
              <w:snapToGrid w:val="0"/>
              <w:spacing w:line="340" w:lineRule="atLeast"/>
              <w:jc w:val="left"/>
              <w:rPr>
                <w:rFonts w:ascii="仿宋" w:hAnsi="仿宋" w:eastAsia="仿宋" w:cs="仿宋"/>
                <w:snapToGrid w:val="0"/>
                <w:color w:val="000000"/>
                <w:spacing w:val="-4"/>
                <w:kern w:val="0"/>
                <w:sz w:val="24"/>
              </w:rPr>
            </w:pPr>
            <w:r>
              <w:rPr>
                <w:rFonts w:hint="eastAsia" w:ascii="仿宋" w:hAnsi="仿宋" w:eastAsia="仿宋" w:cs="仿宋"/>
                <w:snapToGrid w:val="0"/>
                <w:color w:val="000000"/>
                <w:spacing w:val="-4"/>
                <w:kern w:val="0"/>
                <w:sz w:val="24"/>
                <w:szCs w:val="24"/>
                <w:lang w:val="en-US" w:eastAsia="zh-CN" w:bidi="ar-SA"/>
              </w:rPr>
              <w:t>蒋军杰、任远伟、王永彪、肖志玲、代利国、金少搏、何文斌、都金光</w:t>
            </w:r>
          </w:p>
        </w:tc>
        <w:tc>
          <w:tcPr>
            <w:tcW w:w="2126" w:type="dxa"/>
            <w:shd w:val="clear" w:color="auto" w:fill="auto"/>
            <w:vAlign w:val="center"/>
          </w:tcPr>
          <w:p w14:paraId="37BF68BB">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76" w:type="dxa"/>
            <w:shd w:val="clear" w:color="auto" w:fill="auto"/>
            <w:vAlign w:val="center"/>
          </w:tcPr>
          <w:p w14:paraId="2AFDDE9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lang w:val="en-US" w:eastAsia="zh-CN"/>
              </w:rPr>
              <w:t>技术许可</w:t>
            </w:r>
          </w:p>
        </w:tc>
        <w:tc>
          <w:tcPr>
            <w:tcW w:w="1275" w:type="dxa"/>
            <w:shd w:val="clear" w:color="auto" w:fill="auto"/>
            <w:vAlign w:val="center"/>
          </w:tcPr>
          <w:p w14:paraId="0E45A21C">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15</w:t>
            </w:r>
          </w:p>
        </w:tc>
        <w:tc>
          <w:tcPr>
            <w:tcW w:w="1036" w:type="dxa"/>
            <w:shd w:val="clear" w:color="auto" w:fill="auto"/>
            <w:vAlign w:val="center"/>
          </w:tcPr>
          <w:p w14:paraId="12FB8979">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河南普米医疗科技有限公司</w:t>
            </w:r>
          </w:p>
        </w:tc>
        <w:tc>
          <w:tcPr>
            <w:tcW w:w="786" w:type="dxa"/>
            <w:shd w:val="clear" w:color="auto" w:fill="auto"/>
            <w:vAlign w:val="center"/>
          </w:tcPr>
          <w:p w14:paraId="2CA2F957">
            <w:pPr>
              <w:spacing w:line="340" w:lineRule="atLeast"/>
              <w:jc w:val="center"/>
              <w:rPr>
                <w:rFonts w:ascii="仿宋" w:hAnsi="仿宋" w:eastAsia="仿宋" w:cs="仿宋"/>
                <w:sz w:val="28"/>
                <w:szCs w:val="28"/>
              </w:rPr>
            </w:pPr>
          </w:p>
        </w:tc>
      </w:tr>
      <w:tr w14:paraId="1126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41987883">
            <w:pPr>
              <w:snapToGrid w:val="0"/>
              <w:spacing w:line="340" w:lineRule="atLeast"/>
              <w:jc w:val="center"/>
              <w:rPr>
                <w:rFonts w:hint="eastAsia" w:ascii="黑体" w:hAnsi="黑体" w:eastAsia="黑体" w:cs="黑体"/>
                <w:sz w:val="24"/>
                <w:lang w:val="en-US" w:eastAsia="zh-CN"/>
              </w:rPr>
            </w:pPr>
            <w:r>
              <w:rPr>
                <w:rFonts w:hint="eastAsia" w:ascii="黑体" w:hAnsi="黑体" w:eastAsia="黑体" w:cs="黑体"/>
                <w:sz w:val="24"/>
                <w:lang w:val="en-US" w:eastAsia="zh-CN"/>
              </w:rPr>
              <w:t>4</w:t>
            </w:r>
          </w:p>
        </w:tc>
        <w:tc>
          <w:tcPr>
            <w:tcW w:w="1407" w:type="dxa"/>
            <w:shd w:val="clear" w:color="auto" w:fill="auto"/>
            <w:vAlign w:val="center"/>
          </w:tcPr>
          <w:p w14:paraId="7D8C5D81">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变刚度弹性驱动器</w:t>
            </w:r>
          </w:p>
        </w:tc>
        <w:tc>
          <w:tcPr>
            <w:tcW w:w="3402" w:type="dxa"/>
            <w:shd w:val="clear" w:color="auto" w:fill="auto"/>
            <w:vAlign w:val="center"/>
          </w:tcPr>
          <w:p w14:paraId="6ADEC80B">
            <w:pPr>
              <w:spacing w:before="78" w:line="340" w:lineRule="atLeast"/>
              <w:ind w:firstLine="464" w:firstLineChars="200"/>
              <w:jc w:val="left"/>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该成果公开了一种变刚度弹性驱动器,所述变刚度弹性驱动器包括第一回转件、第二回转件、弹性组件、传动轮、行星轮组、支撑架、输入轴、第一滚子、第二滚子和驱动组件。第一回转件和第二回转件同轴设置,弹性组件关于第一轴线偏心设置,且弹性组件的至少一端与第一回转件相连,传动轮与弹性组件配合,太阳轮能够绕第一轴线转动,第一行星轮和第二行星轮中的每一者与太阳轮和第一回转件中的每一者啮合,且输入轴与传动轮和太阳轮中的每一者相连,第一滚子和第二滚子对称地设在太阳轮的两侧,驱动组件设在第二回转件上,驱动组件能够驱动第一滚子和第二滚子同时相向或背向移动相同的距离,本发明的变刚度弹性驱动器能够实现刚度的调控。</w:t>
            </w:r>
          </w:p>
        </w:tc>
        <w:tc>
          <w:tcPr>
            <w:tcW w:w="1985" w:type="dxa"/>
            <w:shd w:val="clear" w:color="auto" w:fill="auto"/>
            <w:vAlign w:val="center"/>
          </w:tcPr>
          <w:p w14:paraId="55F51B97">
            <w:pPr>
              <w:snapToGrid w:val="0"/>
              <w:spacing w:line="340" w:lineRule="atLeast"/>
              <w:jc w:val="left"/>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王才东;刘晓丽;肖艳秋;王新杰;郑华栋;董祥升;刘建秀;王翊臣;牛震;许武威</w:t>
            </w:r>
          </w:p>
        </w:tc>
        <w:tc>
          <w:tcPr>
            <w:tcW w:w="2126" w:type="dxa"/>
            <w:shd w:val="clear" w:color="auto" w:fill="auto"/>
            <w:vAlign w:val="center"/>
          </w:tcPr>
          <w:p w14:paraId="390676A5">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专利权转让</w:t>
            </w:r>
          </w:p>
        </w:tc>
        <w:tc>
          <w:tcPr>
            <w:tcW w:w="1276" w:type="dxa"/>
            <w:shd w:val="clear" w:color="auto" w:fill="auto"/>
            <w:vAlign w:val="center"/>
          </w:tcPr>
          <w:p w14:paraId="55E8CB70">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技术转让</w:t>
            </w:r>
          </w:p>
        </w:tc>
        <w:tc>
          <w:tcPr>
            <w:tcW w:w="1275" w:type="dxa"/>
            <w:shd w:val="clear" w:color="auto" w:fill="auto"/>
            <w:vAlign w:val="center"/>
          </w:tcPr>
          <w:p w14:paraId="56DE2282">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3</w:t>
            </w:r>
            <w:r>
              <w:rPr>
                <w:rFonts w:ascii="仿宋" w:hAnsi="仿宋" w:eastAsia="仿宋" w:cs="仿宋"/>
                <w:sz w:val="24"/>
              </w:rPr>
              <w:t>.5</w:t>
            </w:r>
          </w:p>
        </w:tc>
        <w:tc>
          <w:tcPr>
            <w:tcW w:w="1036" w:type="dxa"/>
            <w:shd w:val="clear" w:color="auto" w:fill="auto"/>
            <w:vAlign w:val="center"/>
          </w:tcPr>
          <w:p w14:paraId="4E282742">
            <w:pPr>
              <w:spacing w:line="340" w:lineRule="atLeast"/>
              <w:jc w:val="center"/>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rPr>
              <w:t>郑州科慧科技股份有限公司</w:t>
            </w:r>
          </w:p>
        </w:tc>
        <w:tc>
          <w:tcPr>
            <w:tcW w:w="786" w:type="dxa"/>
            <w:shd w:val="clear" w:color="auto" w:fill="auto"/>
            <w:vAlign w:val="center"/>
          </w:tcPr>
          <w:p w14:paraId="72CBD5E2">
            <w:pPr>
              <w:spacing w:line="340" w:lineRule="atLeast"/>
              <w:jc w:val="center"/>
              <w:rPr>
                <w:rFonts w:ascii="仿宋" w:hAnsi="仿宋" w:eastAsia="仿宋" w:cs="仿宋"/>
                <w:sz w:val="28"/>
                <w:szCs w:val="28"/>
              </w:rPr>
            </w:pPr>
          </w:p>
        </w:tc>
      </w:tr>
      <w:tr w14:paraId="7CB2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067561AA">
            <w:pPr>
              <w:snapToGrid w:val="0"/>
              <w:spacing w:line="340" w:lineRule="atLeast"/>
              <w:jc w:val="center"/>
              <w:rPr>
                <w:rFonts w:hint="eastAsia" w:ascii="黑体" w:hAnsi="黑体" w:eastAsia="黑体" w:cs="黑体"/>
                <w:sz w:val="24"/>
                <w:lang w:val="en-US" w:eastAsia="zh-CN"/>
              </w:rPr>
            </w:pPr>
            <w:r>
              <w:rPr>
                <w:rFonts w:hint="eastAsia" w:ascii="黑体" w:hAnsi="黑体" w:eastAsia="黑体" w:cs="黑体"/>
                <w:sz w:val="24"/>
                <w:lang w:val="en-US" w:eastAsia="zh-CN"/>
              </w:rPr>
              <w:t>5</w:t>
            </w:r>
          </w:p>
        </w:tc>
        <w:tc>
          <w:tcPr>
            <w:tcW w:w="1407" w:type="dxa"/>
            <w:shd w:val="clear" w:color="auto" w:fill="auto"/>
            <w:vAlign w:val="center"/>
          </w:tcPr>
          <w:p w14:paraId="2FF54FE6">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一种用于综合管道巡检机器人的攀爬机构</w:t>
            </w:r>
          </w:p>
        </w:tc>
        <w:tc>
          <w:tcPr>
            <w:tcW w:w="3402" w:type="dxa"/>
            <w:shd w:val="clear" w:color="auto" w:fill="auto"/>
            <w:vAlign w:val="center"/>
          </w:tcPr>
          <w:p w14:paraId="58B37BBC">
            <w:pPr>
              <w:spacing w:before="78" w:line="340" w:lineRule="atLeast"/>
              <w:ind w:firstLine="464" w:firstLineChars="200"/>
              <w:jc w:val="left"/>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该成果一种用于综合管道巡检机器人的攀爬机构,包括主行走机构和辅助行走机构；所述主行走机构包括从上到下依次固定连接的主平台、连接架和环形结构的行走架,所述行走架的上方为半圆形的弧形架Ⅰ、下方为四分之一圆弧形的弧形架Ⅱ,所弧形架Ⅰ的内侧安装有电机驱动的行走轮,所述弧形架Ⅱ的内侧安装有两个并列的辅助轮,所述辅助行走机构包括两个卡管机构,本发明的攀爬机构能够脱离轨道依托管道自主行走,为综合管道巡检机器人提供结构支撑。</w:t>
            </w:r>
          </w:p>
        </w:tc>
        <w:tc>
          <w:tcPr>
            <w:tcW w:w="1985" w:type="dxa"/>
            <w:shd w:val="clear" w:color="auto" w:fill="auto"/>
            <w:vAlign w:val="center"/>
          </w:tcPr>
          <w:p w14:paraId="51613CE0">
            <w:pPr>
              <w:snapToGrid w:val="0"/>
              <w:spacing w:line="340" w:lineRule="atLeast"/>
              <w:jc w:val="left"/>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王才东;沈高峰;郑华栋;王新杰;王一;张昊田;刘晓丽;王良文;牛震;王翊臣</w:t>
            </w:r>
          </w:p>
        </w:tc>
        <w:tc>
          <w:tcPr>
            <w:tcW w:w="2126" w:type="dxa"/>
            <w:shd w:val="clear" w:color="auto" w:fill="auto"/>
            <w:vAlign w:val="center"/>
          </w:tcPr>
          <w:p w14:paraId="16B90F05">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专利权转让</w:t>
            </w:r>
          </w:p>
        </w:tc>
        <w:tc>
          <w:tcPr>
            <w:tcW w:w="1276" w:type="dxa"/>
            <w:shd w:val="clear" w:color="auto" w:fill="auto"/>
            <w:vAlign w:val="center"/>
          </w:tcPr>
          <w:p w14:paraId="4B2B25B5">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技术转让</w:t>
            </w:r>
          </w:p>
        </w:tc>
        <w:tc>
          <w:tcPr>
            <w:tcW w:w="1275" w:type="dxa"/>
            <w:shd w:val="clear" w:color="auto" w:fill="auto"/>
            <w:vAlign w:val="center"/>
          </w:tcPr>
          <w:p w14:paraId="403ED285">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3</w:t>
            </w:r>
          </w:p>
        </w:tc>
        <w:tc>
          <w:tcPr>
            <w:tcW w:w="1036" w:type="dxa"/>
            <w:shd w:val="clear" w:color="auto" w:fill="auto"/>
            <w:vAlign w:val="center"/>
          </w:tcPr>
          <w:p w14:paraId="67F436BC">
            <w:pPr>
              <w:spacing w:line="340" w:lineRule="atLeast"/>
              <w:jc w:val="center"/>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rPr>
              <w:t>郑州科慧科技股份有限公司</w:t>
            </w:r>
          </w:p>
        </w:tc>
        <w:tc>
          <w:tcPr>
            <w:tcW w:w="786" w:type="dxa"/>
            <w:shd w:val="clear" w:color="auto" w:fill="auto"/>
            <w:vAlign w:val="center"/>
          </w:tcPr>
          <w:p w14:paraId="261A3193">
            <w:pPr>
              <w:spacing w:line="340" w:lineRule="atLeast"/>
              <w:jc w:val="center"/>
              <w:rPr>
                <w:rFonts w:ascii="仿宋" w:hAnsi="仿宋" w:eastAsia="仿宋" w:cs="仿宋"/>
                <w:sz w:val="28"/>
                <w:szCs w:val="28"/>
              </w:rPr>
            </w:pPr>
          </w:p>
        </w:tc>
      </w:tr>
      <w:tr w14:paraId="68F3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45318B30">
            <w:pPr>
              <w:snapToGrid w:val="0"/>
              <w:spacing w:line="340" w:lineRule="atLeast"/>
              <w:jc w:val="center"/>
              <w:rPr>
                <w:rFonts w:hint="eastAsia" w:ascii="黑体" w:hAnsi="黑体" w:eastAsia="黑体" w:cs="黑体"/>
                <w:sz w:val="24"/>
                <w:lang w:val="en-US" w:eastAsia="zh-CN"/>
              </w:rPr>
            </w:pPr>
            <w:r>
              <w:rPr>
                <w:rFonts w:hint="eastAsia" w:ascii="黑体" w:hAnsi="黑体" w:eastAsia="黑体" w:cs="黑体"/>
                <w:sz w:val="24"/>
                <w:lang w:val="en-US" w:eastAsia="zh-CN"/>
              </w:rPr>
              <w:t>6</w:t>
            </w:r>
            <w:bookmarkStart w:id="0" w:name="_GoBack"/>
            <w:bookmarkEnd w:id="0"/>
          </w:p>
        </w:tc>
        <w:tc>
          <w:tcPr>
            <w:tcW w:w="1407" w:type="dxa"/>
            <w:shd w:val="clear" w:color="auto" w:fill="auto"/>
            <w:vAlign w:val="center"/>
          </w:tcPr>
          <w:p w14:paraId="2BB72862">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管道爬行焊接机器人</w:t>
            </w:r>
          </w:p>
        </w:tc>
        <w:tc>
          <w:tcPr>
            <w:tcW w:w="3402" w:type="dxa"/>
            <w:shd w:val="clear" w:color="auto" w:fill="auto"/>
            <w:vAlign w:val="center"/>
          </w:tcPr>
          <w:p w14:paraId="0DC24BD4">
            <w:pPr>
              <w:spacing w:before="78" w:line="340" w:lineRule="atLeast"/>
              <w:ind w:firstLine="464" w:firstLineChars="200"/>
              <w:jc w:val="left"/>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该成果涉及一种管道爬行焊接机器人,包括行走机构和焊接机构,行走机构采用了装有麦克纳姆轮悬挂结构,两个对称的麦克纳姆轮安装在悬挂弹簧内端的伸缩杆的端部且两个麦克纳姆轮设有独立的电机来驱动,因此两个麦克纳姆在悬挂弹簧的压力下能够骑跨在管道上前后移动；焊接机构固定在行走机构的前端,可以升起回收到行走机构上端不影响机器人爬行,焊接机构下降时两个半圆形齿圈可以合围到管道的圆周,然后控制移动焊机转动对管道的接缝处进行焊接；本发明的焊接机器人能够在管道上爬行和转弯,同时能够完成管道的全方位焊接任务,能够替代人在野外对管道的焊接,同时本发明有着焊接质量高,焊接精准度高,效率高,成本低的优点,利于市场的推广。</w:t>
            </w:r>
          </w:p>
        </w:tc>
        <w:tc>
          <w:tcPr>
            <w:tcW w:w="1985" w:type="dxa"/>
            <w:shd w:val="clear" w:color="auto" w:fill="auto"/>
            <w:vAlign w:val="center"/>
          </w:tcPr>
          <w:p w14:paraId="0CBF13A2">
            <w:pPr>
              <w:snapToGrid w:val="0"/>
              <w:spacing w:line="340" w:lineRule="atLeast"/>
              <w:jc w:val="left"/>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陈鹿民;刘洁;李一浩;王才东;赵峰;王新杰;端木希睿;贺坤友</w:t>
            </w:r>
          </w:p>
        </w:tc>
        <w:tc>
          <w:tcPr>
            <w:tcW w:w="2126" w:type="dxa"/>
            <w:shd w:val="clear" w:color="auto" w:fill="auto"/>
            <w:vAlign w:val="center"/>
          </w:tcPr>
          <w:p w14:paraId="757DB1A4">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专利权转让</w:t>
            </w:r>
          </w:p>
        </w:tc>
        <w:tc>
          <w:tcPr>
            <w:tcW w:w="1276" w:type="dxa"/>
            <w:shd w:val="clear" w:color="auto" w:fill="auto"/>
            <w:vAlign w:val="center"/>
          </w:tcPr>
          <w:p w14:paraId="4A231801">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技术转让</w:t>
            </w:r>
          </w:p>
        </w:tc>
        <w:tc>
          <w:tcPr>
            <w:tcW w:w="1275" w:type="dxa"/>
            <w:shd w:val="clear" w:color="auto" w:fill="auto"/>
            <w:vAlign w:val="center"/>
          </w:tcPr>
          <w:p w14:paraId="41D08B44">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3</w:t>
            </w:r>
          </w:p>
        </w:tc>
        <w:tc>
          <w:tcPr>
            <w:tcW w:w="1036" w:type="dxa"/>
            <w:shd w:val="clear" w:color="auto" w:fill="auto"/>
            <w:vAlign w:val="center"/>
          </w:tcPr>
          <w:p w14:paraId="5EE26409">
            <w:pPr>
              <w:spacing w:line="340" w:lineRule="atLeast"/>
              <w:jc w:val="center"/>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rPr>
              <w:t>郑州科慧科技股份有限公司</w:t>
            </w:r>
          </w:p>
        </w:tc>
        <w:tc>
          <w:tcPr>
            <w:tcW w:w="786" w:type="dxa"/>
            <w:shd w:val="clear" w:color="auto" w:fill="auto"/>
            <w:vAlign w:val="center"/>
          </w:tcPr>
          <w:p w14:paraId="1D9BBFC9">
            <w:pPr>
              <w:spacing w:line="340" w:lineRule="atLeast"/>
              <w:jc w:val="center"/>
              <w:rPr>
                <w:rFonts w:ascii="仿宋" w:hAnsi="仿宋" w:eastAsia="仿宋" w:cs="仿宋"/>
                <w:sz w:val="28"/>
                <w:szCs w:val="28"/>
              </w:rPr>
            </w:pPr>
          </w:p>
        </w:tc>
      </w:tr>
    </w:tbl>
    <w:p w14:paraId="4DCFFC97"/>
    <w:p w14:paraId="70D25542"/>
    <w:p w14:paraId="0551773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00C3F0D"/>
    <w:rsid w:val="002D4010"/>
    <w:rsid w:val="003E6A59"/>
    <w:rsid w:val="00C02A51"/>
    <w:rsid w:val="00E959E7"/>
    <w:rsid w:val="0F2B62DD"/>
    <w:rsid w:val="1308507D"/>
    <w:rsid w:val="40832732"/>
    <w:rsid w:val="415E2C8C"/>
    <w:rsid w:val="47185F14"/>
    <w:rsid w:val="472D0121"/>
    <w:rsid w:val="50D852D8"/>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772</Words>
  <Characters>789</Characters>
  <Lines>5</Lines>
  <Paragraphs>1</Paragraphs>
  <TotalTime>0</TotalTime>
  <ScaleCrop>false</ScaleCrop>
  <LinksUpToDate>false</LinksUpToDate>
  <CharactersWithSpaces>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2022-07-25T02:39:00Z</cp:lastPrinted>
  <dcterms:modified xsi:type="dcterms:W3CDTF">2026-09-20T09:11:27Z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