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95A1B6">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郑州轻工业大学科研成果赋权情况表</w:t>
      </w:r>
    </w:p>
    <w:p w14:paraId="696EA351">
      <w:pPr>
        <w:spacing w:before="156" w:beforeLines="50"/>
        <w:jc w:val="center"/>
        <w:rPr>
          <w:rFonts w:ascii="仿宋" w:hAnsi="仿宋" w:eastAsia="仿宋" w:cs="仿宋"/>
          <w:sz w:val="28"/>
          <w:szCs w:val="28"/>
        </w:rPr>
      </w:pPr>
      <w:r>
        <w:rPr>
          <w:rFonts w:hint="eastAsia" w:ascii="仿宋" w:hAnsi="仿宋" w:eastAsia="仿宋" w:cs="仿宋"/>
          <w:sz w:val="28"/>
          <w:szCs w:val="28"/>
        </w:rPr>
        <w:t xml:space="preserve">                                                                      时间：202</w:t>
      </w:r>
      <w:r>
        <w:rPr>
          <w:rFonts w:hint="eastAsia" w:ascii="仿宋" w:hAnsi="仿宋" w:eastAsia="仿宋" w:cs="仿宋"/>
          <w:sz w:val="28"/>
          <w:szCs w:val="28"/>
          <w:lang w:val="en-US" w:eastAsia="zh-CN"/>
        </w:rPr>
        <w:t>5</w:t>
      </w:r>
      <w:r>
        <w:rPr>
          <w:rFonts w:hint="eastAsia" w:ascii="仿宋" w:hAnsi="仿宋" w:eastAsia="仿宋" w:cs="仿宋"/>
          <w:sz w:val="28"/>
          <w:szCs w:val="28"/>
        </w:rPr>
        <w:t>年</w:t>
      </w:r>
      <w:r>
        <w:rPr>
          <w:rFonts w:hint="eastAsia" w:ascii="仿宋" w:hAnsi="仿宋" w:eastAsia="仿宋" w:cs="仿宋"/>
          <w:sz w:val="28"/>
          <w:szCs w:val="28"/>
          <w:lang w:val="en-US" w:eastAsia="zh-CN"/>
        </w:rPr>
        <w:t>11</w:t>
      </w:r>
      <w:r>
        <w:rPr>
          <w:rFonts w:hint="eastAsia" w:ascii="仿宋" w:hAnsi="仿宋" w:eastAsia="仿宋" w:cs="仿宋"/>
          <w:sz w:val="28"/>
          <w:szCs w:val="28"/>
        </w:rPr>
        <w:t>月</w:t>
      </w:r>
      <w:r>
        <w:rPr>
          <w:rFonts w:hint="eastAsia" w:ascii="仿宋" w:hAnsi="仿宋" w:eastAsia="仿宋" w:cs="仿宋"/>
          <w:sz w:val="28"/>
          <w:szCs w:val="28"/>
          <w:lang w:val="en-US" w:eastAsia="zh-CN"/>
        </w:rPr>
        <w:t>14</w:t>
      </w:r>
      <w:r>
        <w:rPr>
          <w:rFonts w:hint="eastAsia" w:ascii="仿宋" w:hAnsi="仿宋" w:eastAsia="仿宋" w:cs="仿宋"/>
          <w:sz w:val="28"/>
          <w:szCs w:val="28"/>
        </w:rPr>
        <w:t>日</w:t>
      </w:r>
    </w:p>
    <w:tbl>
      <w:tblPr>
        <w:tblStyle w:val="3"/>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1633"/>
        <w:gridCol w:w="4035"/>
        <w:gridCol w:w="2520"/>
        <w:gridCol w:w="1080"/>
        <w:gridCol w:w="750"/>
        <w:gridCol w:w="1204"/>
        <w:gridCol w:w="1285"/>
        <w:gridCol w:w="786"/>
      </w:tblGrid>
      <w:tr w14:paraId="15255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shd w:val="clear" w:color="auto" w:fill="auto"/>
            <w:vAlign w:val="center"/>
          </w:tcPr>
          <w:p w14:paraId="5AC04F89">
            <w:pPr>
              <w:snapToGrid w:val="0"/>
              <w:spacing w:line="340" w:lineRule="atLeast"/>
              <w:jc w:val="center"/>
              <w:rPr>
                <w:rFonts w:ascii="黑体" w:hAnsi="黑体" w:eastAsia="黑体" w:cs="黑体"/>
                <w:sz w:val="24"/>
              </w:rPr>
            </w:pPr>
            <w:r>
              <w:rPr>
                <w:rFonts w:hint="eastAsia" w:ascii="黑体" w:hAnsi="黑体" w:eastAsia="黑体" w:cs="黑体"/>
                <w:sz w:val="24"/>
              </w:rPr>
              <w:t>序号</w:t>
            </w:r>
          </w:p>
        </w:tc>
        <w:tc>
          <w:tcPr>
            <w:tcW w:w="1633" w:type="dxa"/>
            <w:shd w:val="clear" w:color="auto" w:fill="auto"/>
            <w:vAlign w:val="center"/>
          </w:tcPr>
          <w:p w14:paraId="0E89747D">
            <w:pPr>
              <w:snapToGrid w:val="0"/>
              <w:spacing w:line="340" w:lineRule="atLeast"/>
              <w:jc w:val="center"/>
              <w:rPr>
                <w:rFonts w:ascii="黑体" w:hAnsi="黑体" w:eastAsia="黑体" w:cs="黑体"/>
                <w:sz w:val="24"/>
              </w:rPr>
            </w:pPr>
            <w:r>
              <w:rPr>
                <w:rFonts w:hint="eastAsia" w:ascii="黑体" w:hAnsi="黑体" w:eastAsia="黑体" w:cs="黑体"/>
                <w:sz w:val="24"/>
              </w:rPr>
              <w:t>成果名称</w:t>
            </w:r>
          </w:p>
        </w:tc>
        <w:tc>
          <w:tcPr>
            <w:tcW w:w="4035" w:type="dxa"/>
            <w:shd w:val="clear" w:color="auto" w:fill="auto"/>
            <w:vAlign w:val="center"/>
          </w:tcPr>
          <w:p w14:paraId="0EC254FA">
            <w:pPr>
              <w:snapToGrid w:val="0"/>
              <w:spacing w:line="340" w:lineRule="atLeast"/>
              <w:jc w:val="center"/>
              <w:rPr>
                <w:rFonts w:ascii="黑体" w:hAnsi="黑体" w:eastAsia="黑体" w:cs="黑体"/>
                <w:sz w:val="24"/>
              </w:rPr>
            </w:pPr>
            <w:r>
              <w:rPr>
                <w:rFonts w:hint="eastAsia" w:ascii="黑体" w:hAnsi="黑体" w:eastAsia="黑体" w:cs="黑体"/>
                <w:sz w:val="24"/>
              </w:rPr>
              <w:t>成果内容摘要</w:t>
            </w:r>
          </w:p>
        </w:tc>
        <w:tc>
          <w:tcPr>
            <w:tcW w:w="2520" w:type="dxa"/>
            <w:shd w:val="clear" w:color="auto" w:fill="auto"/>
            <w:vAlign w:val="center"/>
          </w:tcPr>
          <w:p w14:paraId="43391DBB">
            <w:pPr>
              <w:snapToGrid w:val="0"/>
              <w:spacing w:line="340" w:lineRule="atLeast"/>
              <w:jc w:val="center"/>
              <w:rPr>
                <w:rFonts w:ascii="黑体" w:hAnsi="黑体" w:eastAsia="黑体" w:cs="黑体"/>
                <w:sz w:val="24"/>
              </w:rPr>
            </w:pPr>
            <w:r>
              <w:rPr>
                <w:rFonts w:hint="eastAsia" w:ascii="黑体" w:hAnsi="黑体" w:eastAsia="黑体" w:cs="黑体"/>
                <w:sz w:val="24"/>
              </w:rPr>
              <w:t>成果完成人</w:t>
            </w:r>
          </w:p>
        </w:tc>
        <w:tc>
          <w:tcPr>
            <w:tcW w:w="1080" w:type="dxa"/>
            <w:shd w:val="clear" w:color="auto" w:fill="auto"/>
            <w:vAlign w:val="center"/>
          </w:tcPr>
          <w:p w14:paraId="4B404377">
            <w:pPr>
              <w:snapToGrid w:val="0"/>
              <w:spacing w:line="340" w:lineRule="atLeast"/>
              <w:jc w:val="center"/>
              <w:rPr>
                <w:rFonts w:ascii="黑体" w:hAnsi="黑体" w:eastAsia="黑体" w:cs="黑体"/>
                <w:sz w:val="24"/>
              </w:rPr>
            </w:pPr>
            <w:r>
              <w:rPr>
                <w:rFonts w:hint="eastAsia" w:ascii="黑体" w:hAnsi="黑体" w:eastAsia="黑体" w:cs="黑体"/>
                <w:sz w:val="24"/>
              </w:rPr>
              <w:t>赋权类型</w:t>
            </w:r>
          </w:p>
        </w:tc>
        <w:tc>
          <w:tcPr>
            <w:tcW w:w="750" w:type="dxa"/>
            <w:shd w:val="clear" w:color="auto" w:fill="auto"/>
            <w:vAlign w:val="center"/>
          </w:tcPr>
          <w:p w14:paraId="5E9D4442">
            <w:pPr>
              <w:snapToGrid w:val="0"/>
              <w:spacing w:line="340" w:lineRule="atLeast"/>
              <w:jc w:val="center"/>
              <w:rPr>
                <w:rFonts w:ascii="黑体" w:hAnsi="黑体" w:eastAsia="黑体" w:cs="黑体"/>
                <w:sz w:val="24"/>
              </w:rPr>
            </w:pPr>
            <w:r>
              <w:rPr>
                <w:rFonts w:hint="eastAsia" w:ascii="黑体" w:hAnsi="黑体" w:eastAsia="黑体" w:cs="黑体"/>
                <w:sz w:val="24"/>
              </w:rPr>
              <w:t>转化</w:t>
            </w:r>
          </w:p>
          <w:p w14:paraId="5409F6D9">
            <w:pPr>
              <w:snapToGrid w:val="0"/>
              <w:spacing w:line="340" w:lineRule="atLeast"/>
              <w:jc w:val="center"/>
              <w:rPr>
                <w:rFonts w:ascii="黑体" w:hAnsi="黑体" w:eastAsia="黑体" w:cs="黑体"/>
                <w:sz w:val="24"/>
              </w:rPr>
            </w:pPr>
            <w:r>
              <w:rPr>
                <w:rFonts w:hint="eastAsia" w:ascii="黑体" w:hAnsi="黑体" w:eastAsia="黑体" w:cs="黑体"/>
                <w:sz w:val="24"/>
              </w:rPr>
              <w:t>方式</w:t>
            </w:r>
          </w:p>
        </w:tc>
        <w:tc>
          <w:tcPr>
            <w:tcW w:w="1204" w:type="dxa"/>
            <w:shd w:val="clear" w:color="auto" w:fill="auto"/>
            <w:vAlign w:val="center"/>
          </w:tcPr>
          <w:p w14:paraId="1B250642">
            <w:pPr>
              <w:snapToGrid w:val="0"/>
              <w:spacing w:line="340" w:lineRule="atLeast"/>
              <w:jc w:val="center"/>
              <w:rPr>
                <w:rFonts w:ascii="黑体" w:hAnsi="黑体" w:eastAsia="黑体" w:cs="黑体"/>
                <w:sz w:val="24"/>
              </w:rPr>
            </w:pPr>
            <w:r>
              <w:rPr>
                <w:rFonts w:hint="eastAsia" w:ascii="黑体" w:hAnsi="黑体" w:eastAsia="黑体" w:cs="黑体"/>
                <w:sz w:val="24"/>
              </w:rPr>
              <w:t>交易金额（万元）</w:t>
            </w:r>
          </w:p>
        </w:tc>
        <w:tc>
          <w:tcPr>
            <w:tcW w:w="1285" w:type="dxa"/>
            <w:shd w:val="clear" w:color="auto" w:fill="auto"/>
            <w:vAlign w:val="center"/>
          </w:tcPr>
          <w:p w14:paraId="0855ACEA">
            <w:pPr>
              <w:snapToGrid w:val="0"/>
              <w:spacing w:line="340" w:lineRule="atLeast"/>
              <w:jc w:val="center"/>
              <w:rPr>
                <w:rFonts w:ascii="黑体" w:hAnsi="黑体" w:eastAsia="黑体" w:cs="黑体"/>
                <w:sz w:val="24"/>
              </w:rPr>
            </w:pPr>
            <w:r>
              <w:rPr>
                <w:rFonts w:hint="eastAsia" w:ascii="黑体" w:hAnsi="黑体" w:eastAsia="黑体" w:cs="黑体"/>
                <w:sz w:val="24"/>
              </w:rPr>
              <w:t>受让方</w:t>
            </w:r>
          </w:p>
        </w:tc>
        <w:tc>
          <w:tcPr>
            <w:tcW w:w="786" w:type="dxa"/>
            <w:shd w:val="clear" w:color="auto" w:fill="auto"/>
            <w:vAlign w:val="center"/>
          </w:tcPr>
          <w:p w14:paraId="377FB5DC">
            <w:pPr>
              <w:snapToGrid w:val="0"/>
              <w:spacing w:line="340" w:lineRule="atLeast"/>
              <w:jc w:val="center"/>
              <w:rPr>
                <w:rFonts w:ascii="黑体" w:hAnsi="黑体" w:eastAsia="黑体" w:cs="黑体"/>
                <w:sz w:val="24"/>
              </w:rPr>
            </w:pPr>
            <w:r>
              <w:rPr>
                <w:rFonts w:hint="eastAsia" w:ascii="黑体" w:hAnsi="黑体" w:eastAsia="黑体" w:cs="黑体"/>
                <w:sz w:val="24"/>
              </w:rPr>
              <w:t>备注</w:t>
            </w:r>
          </w:p>
        </w:tc>
      </w:tr>
      <w:tr w14:paraId="05B00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2969271B">
            <w:pPr>
              <w:widowControl/>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1</w:t>
            </w:r>
          </w:p>
        </w:tc>
        <w:tc>
          <w:tcPr>
            <w:tcW w:w="1633" w:type="dxa"/>
            <w:shd w:val="clear" w:color="auto" w:fill="auto"/>
            <w:vAlign w:val="center"/>
          </w:tcPr>
          <w:p w14:paraId="211E416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基于自适应扩展有限元的六面顶压机裂纹扩展计算方法</w:t>
            </w:r>
          </w:p>
        </w:tc>
        <w:tc>
          <w:tcPr>
            <w:tcW w:w="4035" w:type="dxa"/>
            <w:shd w:val="clear" w:color="auto" w:fill="auto"/>
            <w:vAlign w:val="center"/>
          </w:tcPr>
          <w:p w14:paraId="1DFAB782">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本发明提出了基于自适应扩展有限元的六面顶压机裂纹扩展精确计算方法，依靠于扩展有限元法和自适应技术在裂纹分析中的优势，提高了铰链梁结构中的裂纹扩展模拟的精度，实现铰链梁结构中的裂纹扩展路径的精确模拟。</w:t>
            </w:r>
          </w:p>
        </w:tc>
        <w:tc>
          <w:tcPr>
            <w:tcW w:w="2520" w:type="dxa"/>
            <w:shd w:val="clear" w:color="auto" w:fill="auto"/>
            <w:vAlign w:val="center"/>
          </w:tcPr>
          <w:p w14:paraId="311471BD">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谢贵重; 赵重卯; 陈志强; 李轲; 王良文; 李浩; 武玺旺; 高峰; 鲁海霞; 曹河周; 何文斌; 杜文辽; 钟玉东; 高艺源; 吴珍珍</w:t>
            </w:r>
          </w:p>
        </w:tc>
        <w:tc>
          <w:tcPr>
            <w:tcW w:w="1080" w:type="dxa"/>
            <w:shd w:val="clear" w:color="auto" w:fill="auto"/>
            <w:vAlign w:val="center"/>
          </w:tcPr>
          <w:p w14:paraId="541B300E">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长期使用权（10年）</w:t>
            </w:r>
          </w:p>
        </w:tc>
        <w:tc>
          <w:tcPr>
            <w:tcW w:w="750" w:type="dxa"/>
            <w:shd w:val="clear" w:color="auto" w:fill="auto"/>
            <w:vAlign w:val="center"/>
          </w:tcPr>
          <w:p w14:paraId="23F6661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技术许可</w:t>
            </w:r>
          </w:p>
        </w:tc>
        <w:tc>
          <w:tcPr>
            <w:tcW w:w="1204" w:type="dxa"/>
            <w:shd w:val="clear" w:color="auto" w:fill="auto"/>
            <w:vAlign w:val="center"/>
          </w:tcPr>
          <w:p w14:paraId="5458CD94">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lang w:val="en-US" w:eastAsia="zh-CN"/>
              </w:rPr>
              <w:t>3.4</w:t>
            </w:r>
            <w:r>
              <w:rPr>
                <w:rFonts w:hint="eastAsia" w:ascii="仿宋" w:hAnsi="仿宋" w:eastAsia="仿宋" w:cs="仿宋"/>
                <w:kern w:val="0"/>
                <w:sz w:val="22"/>
                <w:szCs w:val="22"/>
              </w:rPr>
              <w:t>万元</w:t>
            </w:r>
          </w:p>
        </w:tc>
        <w:tc>
          <w:tcPr>
            <w:tcW w:w="1285" w:type="dxa"/>
            <w:shd w:val="clear" w:color="auto" w:fill="auto"/>
            <w:vAlign w:val="center"/>
          </w:tcPr>
          <w:p w14:paraId="19156DD0">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河南德宁液压机械有限公司</w:t>
            </w:r>
          </w:p>
        </w:tc>
        <w:tc>
          <w:tcPr>
            <w:tcW w:w="786" w:type="dxa"/>
            <w:shd w:val="clear" w:color="auto" w:fill="auto"/>
            <w:vAlign w:val="center"/>
          </w:tcPr>
          <w:p w14:paraId="62E58976">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发明</w:t>
            </w:r>
          </w:p>
        </w:tc>
      </w:tr>
      <w:tr w14:paraId="62F37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16AC86B9">
            <w:pPr>
              <w:widowControl/>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2</w:t>
            </w:r>
          </w:p>
        </w:tc>
        <w:tc>
          <w:tcPr>
            <w:tcW w:w="1633" w:type="dxa"/>
            <w:shd w:val="clear" w:color="auto" w:fill="auto"/>
            <w:vAlign w:val="center"/>
          </w:tcPr>
          <w:p w14:paraId="484E2C9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铰链梁锻造工艺参数及中间坯结构设计的双层优化方法</w:t>
            </w:r>
          </w:p>
        </w:tc>
        <w:tc>
          <w:tcPr>
            <w:tcW w:w="4035" w:type="dxa"/>
            <w:shd w:val="clear" w:color="auto" w:fill="auto"/>
            <w:vAlign w:val="center"/>
          </w:tcPr>
          <w:p w14:paraId="44E74D03">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本发明基于铰链梁锻造结构的宏观特性和微观特性分析构建优化目标函数，建立工艺参数及中间坯结构设计的双层优化方法数学模型，基于极差分析、方差分析、代理模型和多目标遗传算法优化求解，获得满足工作性能的条件下达到最优的锻造效果。</w:t>
            </w:r>
          </w:p>
        </w:tc>
        <w:tc>
          <w:tcPr>
            <w:tcW w:w="2520" w:type="dxa"/>
            <w:shd w:val="clear" w:color="auto" w:fill="auto"/>
            <w:vAlign w:val="center"/>
          </w:tcPr>
          <w:p w14:paraId="4F0DCB00">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谢贵重; 张世欣; 王良文; 李浩; 杜文辽; 何文斌; 邬昌军; 巩晓赟; 张德海; 赵自勇; 胡军恒; 汪曙光; 郝洪伟; 高峰; 高艺源</w:t>
            </w:r>
          </w:p>
        </w:tc>
        <w:tc>
          <w:tcPr>
            <w:tcW w:w="1080" w:type="dxa"/>
            <w:shd w:val="clear" w:color="auto" w:fill="auto"/>
            <w:vAlign w:val="center"/>
          </w:tcPr>
          <w:p w14:paraId="6E36680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长期使用权（10年）</w:t>
            </w:r>
          </w:p>
        </w:tc>
        <w:tc>
          <w:tcPr>
            <w:tcW w:w="750" w:type="dxa"/>
            <w:shd w:val="clear" w:color="auto" w:fill="auto"/>
            <w:vAlign w:val="center"/>
          </w:tcPr>
          <w:p w14:paraId="1E27C488">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技术许可</w:t>
            </w:r>
          </w:p>
        </w:tc>
        <w:tc>
          <w:tcPr>
            <w:tcW w:w="1204" w:type="dxa"/>
            <w:shd w:val="clear" w:color="auto" w:fill="auto"/>
            <w:vAlign w:val="center"/>
          </w:tcPr>
          <w:p w14:paraId="2CAC28AE">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lang w:val="en-US" w:eastAsia="zh-CN"/>
              </w:rPr>
              <w:t>3.3</w:t>
            </w:r>
            <w:r>
              <w:rPr>
                <w:rFonts w:hint="eastAsia" w:ascii="仿宋" w:hAnsi="仿宋" w:eastAsia="仿宋" w:cs="仿宋"/>
                <w:kern w:val="0"/>
                <w:sz w:val="22"/>
                <w:szCs w:val="22"/>
              </w:rPr>
              <w:t>万元</w:t>
            </w:r>
          </w:p>
        </w:tc>
        <w:tc>
          <w:tcPr>
            <w:tcW w:w="1285" w:type="dxa"/>
            <w:shd w:val="clear" w:color="auto" w:fill="auto"/>
            <w:vAlign w:val="center"/>
          </w:tcPr>
          <w:p w14:paraId="2C14A37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河南德宁液压机械有限公司</w:t>
            </w:r>
          </w:p>
        </w:tc>
        <w:tc>
          <w:tcPr>
            <w:tcW w:w="786" w:type="dxa"/>
            <w:shd w:val="clear" w:color="auto" w:fill="auto"/>
            <w:vAlign w:val="center"/>
          </w:tcPr>
          <w:p w14:paraId="29C57F8E">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发明</w:t>
            </w:r>
          </w:p>
        </w:tc>
      </w:tr>
      <w:tr w14:paraId="7572F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62E200AA">
            <w:pPr>
              <w:widowControl/>
              <w:jc w:val="center"/>
              <w:textAlignment w:val="center"/>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3</w:t>
            </w:r>
          </w:p>
        </w:tc>
        <w:tc>
          <w:tcPr>
            <w:tcW w:w="1633" w:type="dxa"/>
            <w:shd w:val="clear" w:color="auto" w:fill="auto"/>
            <w:vAlign w:val="center"/>
          </w:tcPr>
          <w:p w14:paraId="6EE249C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一种基于数据驱动的机械结构实时疲劳寿命预测方法</w:t>
            </w:r>
          </w:p>
        </w:tc>
        <w:tc>
          <w:tcPr>
            <w:tcW w:w="4035" w:type="dxa"/>
            <w:shd w:val="clear" w:color="auto" w:fill="auto"/>
            <w:vAlign w:val="center"/>
          </w:tcPr>
          <w:p w14:paraId="115D122A">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lang w:val="en-US" w:eastAsia="zh-CN"/>
              </w:rPr>
              <w:t>本发明提出了一种基于数据驱动的机械结构实时疲劳寿命预测方法，解决了现有技术中无法预测机械结构的疲劳寿命，造成机械结构的检测精度降低的技术问题。</w:t>
            </w:r>
          </w:p>
        </w:tc>
        <w:tc>
          <w:tcPr>
            <w:tcW w:w="2520" w:type="dxa"/>
            <w:shd w:val="clear" w:color="auto" w:fill="auto"/>
            <w:vAlign w:val="center"/>
          </w:tcPr>
          <w:p w14:paraId="40976B47">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谢贵重; 钟玉东; 李浩; 杜文辽; 冯世哲; 邬昌军; 李客; 巩晓赟; 王良文; 刘林; 张世欣; 王滔</w:t>
            </w:r>
          </w:p>
        </w:tc>
        <w:tc>
          <w:tcPr>
            <w:tcW w:w="1080" w:type="dxa"/>
            <w:shd w:val="clear" w:color="auto" w:fill="auto"/>
            <w:vAlign w:val="center"/>
          </w:tcPr>
          <w:p w14:paraId="0823C74C">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长期使用权（10年）</w:t>
            </w:r>
          </w:p>
        </w:tc>
        <w:tc>
          <w:tcPr>
            <w:tcW w:w="750" w:type="dxa"/>
            <w:shd w:val="clear" w:color="auto" w:fill="auto"/>
            <w:vAlign w:val="center"/>
          </w:tcPr>
          <w:p w14:paraId="69498579">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技术许可</w:t>
            </w:r>
          </w:p>
        </w:tc>
        <w:tc>
          <w:tcPr>
            <w:tcW w:w="1204" w:type="dxa"/>
            <w:shd w:val="clear" w:color="auto" w:fill="auto"/>
            <w:vAlign w:val="center"/>
          </w:tcPr>
          <w:p w14:paraId="62115C9F">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lang w:val="en-US" w:eastAsia="zh-CN"/>
              </w:rPr>
              <w:t>3.3</w:t>
            </w:r>
            <w:r>
              <w:rPr>
                <w:rFonts w:hint="eastAsia" w:ascii="仿宋" w:hAnsi="仿宋" w:eastAsia="仿宋" w:cs="仿宋"/>
                <w:kern w:val="0"/>
                <w:sz w:val="22"/>
                <w:szCs w:val="22"/>
              </w:rPr>
              <w:t>万元</w:t>
            </w:r>
          </w:p>
        </w:tc>
        <w:tc>
          <w:tcPr>
            <w:tcW w:w="1285" w:type="dxa"/>
            <w:shd w:val="clear" w:color="auto" w:fill="auto"/>
            <w:vAlign w:val="center"/>
          </w:tcPr>
          <w:p w14:paraId="1F529E6D">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河南德宁液压机械有限公司</w:t>
            </w:r>
          </w:p>
        </w:tc>
        <w:tc>
          <w:tcPr>
            <w:tcW w:w="786" w:type="dxa"/>
            <w:shd w:val="clear" w:color="auto" w:fill="auto"/>
            <w:vAlign w:val="center"/>
          </w:tcPr>
          <w:p w14:paraId="3B17FD41">
            <w:pPr>
              <w:keepNext w:val="0"/>
              <w:keepLines w:val="0"/>
              <w:pageBreakBefore w:val="0"/>
              <w:widowControl/>
              <w:kinsoku/>
              <w:wordWrap/>
              <w:overflowPunct/>
              <w:topLinePunct w:val="0"/>
              <w:autoSpaceDE/>
              <w:autoSpaceDN/>
              <w:bidi w:val="0"/>
              <w:adjustRightInd/>
              <w:snapToGrid/>
              <w:spacing w:line="640" w:lineRule="exact"/>
              <w:jc w:val="center"/>
              <w:textAlignment w:val="center"/>
              <w:rPr>
                <w:rFonts w:hint="eastAsia" w:ascii="仿宋" w:hAnsi="仿宋" w:eastAsia="仿宋" w:cs="仿宋"/>
                <w:kern w:val="0"/>
                <w:sz w:val="22"/>
                <w:szCs w:val="22"/>
              </w:rPr>
            </w:pPr>
            <w:r>
              <w:rPr>
                <w:rFonts w:hint="eastAsia" w:ascii="仿宋" w:hAnsi="仿宋" w:eastAsia="仿宋" w:cs="仿宋"/>
                <w:kern w:val="0"/>
                <w:sz w:val="22"/>
                <w:szCs w:val="22"/>
              </w:rPr>
              <w:t>发明</w:t>
            </w:r>
          </w:p>
        </w:tc>
      </w:tr>
      <w:tr w14:paraId="44880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vAlign w:val="center"/>
          </w:tcPr>
          <w:p w14:paraId="7CF034AB">
            <w:pPr>
              <w:widowControl/>
              <w:jc w:val="center"/>
              <w:textAlignment w:val="center"/>
              <w:rPr>
                <w:rFonts w:hint="default"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4</w:t>
            </w:r>
          </w:p>
        </w:tc>
        <w:tc>
          <w:tcPr>
            <w:tcW w:w="1633" w:type="dxa"/>
            <w:shd w:val="clear"/>
            <w:vAlign w:val="center"/>
          </w:tcPr>
          <w:p w14:paraId="4340904F">
            <w:pPr>
              <w:keepNext w:val="0"/>
              <w:keepLines w:val="0"/>
              <w:pageBreakBefore w:val="0"/>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一种感兴趣区域模糊图像语义理解的方法</w:t>
            </w:r>
          </w:p>
        </w:tc>
        <w:tc>
          <w:tcPr>
            <w:tcW w:w="4035" w:type="dxa"/>
            <w:shd w:val="clear"/>
            <w:vAlign w:val="center"/>
          </w:tcPr>
          <w:p w14:paraId="673F14B9">
            <w:pPr>
              <w:keepNext w:val="0"/>
              <w:keepLines w:val="0"/>
              <w:pageBreakBefore w:val="0"/>
              <w:kinsoku/>
              <w:wordWrap/>
              <w:overflowPunct/>
              <w:topLinePunct w:val="0"/>
              <w:autoSpaceDE/>
              <w:autoSpaceDN/>
              <w:bidi w:val="0"/>
              <w:adjustRightInd/>
              <w:snapToGrid/>
              <w:spacing w:before="78"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提出模糊图像语义理解方法，构建三级处理框架，实现场景语义理解与目标识别</w:t>
            </w:r>
          </w:p>
        </w:tc>
        <w:tc>
          <w:tcPr>
            <w:tcW w:w="2520" w:type="dxa"/>
            <w:shd w:val="clear"/>
            <w:vAlign w:val="center"/>
          </w:tcPr>
          <w:p w14:paraId="3B79BE8B">
            <w:pPr>
              <w:keepNext w:val="0"/>
              <w:keepLines w:val="0"/>
              <w:pageBreakBefore w:val="0"/>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吴青娥；毋媛媛；张勋才；牛莹；李清波；顾冬华；韩振宇；孙冬；郑晓婉；许爽</w:t>
            </w:r>
          </w:p>
        </w:tc>
        <w:tc>
          <w:tcPr>
            <w:tcW w:w="1080" w:type="dxa"/>
            <w:shd w:val="clear"/>
            <w:vAlign w:val="center"/>
          </w:tcPr>
          <w:p w14:paraId="2B2F0D0B">
            <w:pPr>
              <w:keepNext w:val="0"/>
              <w:keepLines w:val="0"/>
              <w:pageBreakBefore w:val="0"/>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rPr>
              <w:t>短期使用权</w:t>
            </w:r>
          </w:p>
        </w:tc>
        <w:tc>
          <w:tcPr>
            <w:tcW w:w="750" w:type="dxa"/>
            <w:shd w:val="clear"/>
            <w:vAlign w:val="center"/>
          </w:tcPr>
          <w:p w14:paraId="1B205C63">
            <w:pPr>
              <w:keepNext w:val="0"/>
              <w:keepLines w:val="0"/>
              <w:pageBreakBefore w:val="0"/>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4"/>
                <w:kern w:val="0"/>
                <w:sz w:val="22"/>
                <w:szCs w:val="22"/>
              </w:rPr>
            </w:pPr>
            <w:r>
              <w:rPr>
                <w:rFonts w:hint="eastAsia" w:ascii="仿宋" w:hAnsi="仿宋" w:eastAsia="仿宋" w:cs="仿宋"/>
                <w:snapToGrid w:val="0"/>
                <w:color w:val="000000"/>
                <w:spacing w:val="-4"/>
                <w:kern w:val="0"/>
                <w:sz w:val="22"/>
                <w:szCs w:val="22"/>
              </w:rPr>
              <w:t>技术转让</w:t>
            </w:r>
          </w:p>
          <w:p w14:paraId="62568101">
            <w:pPr>
              <w:keepNext w:val="0"/>
              <w:keepLines w:val="0"/>
              <w:pageBreakBefore w:val="0"/>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p>
        </w:tc>
        <w:tc>
          <w:tcPr>
            <w:tcW w:w="1204" w:type="dxa"/>
            <w:shd w:val="clear"/>
            <w:vAlign w:val="center"/>
          </w:tcPr>
          <w:p w14:paraId="4E4B0C07">
            <w:pPr>
              <w:keepNext w:val="0"/>
              <w:keepLines w:val="0"/>
              <w:pageBreakBefore w:val="0"/>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r>
              <w:rPr>
                <w:rFonts w:hint="eastAsia" w:ascii="仿宋" w:hAnsi="仿宋" w:eastAsia="仿宋" w:cs="仿宋"/>
                <w:sz w:val="22"/>
                <w:szCs w:val="22"/>
              </w:rPr>
              <w:t>3</w:t>
            </w:r>
          </w:p>
        </w:tc>
        <w:tc>
          <w:tcPr>
            <w:tcW w:w="1285" w:type="dxa"/>
            <w:shd w:val="clear"/>
            <w:vAlign w:val="center"/>
          </w:tcPr>
          <w:p w14:paraId="219A6FE4">
            <w:pPr>
              <w:keepNext w:val="0"/>
              <w:keepLines w:val="0"/>
              <w:pageBreakBefore w:val="0"/>
              <w:kinsoku/>
              <w:wordWrap/>
              <w:overflowPunct/>
              <w:topLinePunct w:val="0"/>
              <w:autoSpaceDE/>
              <w:autoSpaceDN/>
              <w:bidi w:val="0"/>
              <w:adjustRightInd/>
              <w:snapToGrid/>
              <w:spacing w:line="640" w:lineRule="exact"/>
              <w:jc w:val="center"/>
              <w:rPr>
                <w:rFonts w:hint="eastAsia" w:ascii="仿宋" w:hAnsi="仿宋" w:eastAsia="仿宋" w:cs="仿宋"/>
                <w:snapToGrid w:val="0"/>
                <w:color w:val="000000"/>
                <w:spacing w:val="-3"/>
                <w:kern w:val="0"/>
                <w:sz w:val="22"/>
                <w:szCs w:val="22"/>
                <w:lang w:val="en-US" w:eastAsia="zh-CN" w:bidi="ar-SA"/>
              </w:rPr>
            </w:pPr>
            <w:r>
              <w:rPr>
                <w:rFonts w:hint="eastAsia" w:ascii="仿宋" w:hAnsi="仿宋" w:eastAsia="仿宋" w:cs="仿宋"/>
                <w:snapToGrid w:val="0"/>
                <w:color w:val="000000"/>
                <w:spacing w:val="-4"/>
                <w:kern w:val="0"/>
                <w:sz w:val="22"/>
                <w:szCs w:val="22"/>
              </w:rPr>
              <w:t>河南中祥检测研究院有限公司</w:t>
            </w:r>
          </w:p>
        </w:tc>
        <w:tc>
          <w:tcPr>
            <w:tcW w:w="786" w:type="dxa"/>
            <w:shd w:val="clear"/>
            <w:vAlign w:val="center"/>
          </w:tcPr>
          <w:p w14:paraId="48B77CEA">
            <w:pPr>
              <w:keepNext w:val="0"/>
              <w:keepLines w:val="0"/>
              <w:pageBreakBefore w:val="0"/>
              <w:kinsoku/>
              <w:wordWrap/>
              <w:overflowPunct/>
              <w:topLinePunct w:val="0"/>
              <w:autoSpaceDE/>
              <w:autoSpaceDN/>
              <w:bidi w:val="0"/>
              <w:adjustRightInd/>
              <w:snapToGrid/>
              <w:spacing w:line="640" w:lineRule="exact"/>
              <w:jc w:val="center"/>
              <w:rPr>
                <w:rFonts w:hint="eastAsia" w:ascii="仿宋" w:hAnsi="仿宋" w:eastAsia="仿宋" w:cs="仿宋"/>
                <w:kern w:val="2"/>
                <w:sz w:val="22"/>
                <w:szCs w:val="22"/>
                <w:lang w:val="en-US" w:eastAsia="zh-CN" w:bidi="ar-SA"/>
              </w:rPr>
            </w:pPr>
          </w:p>
        </w:tc>
      </w:tr>
    </w:tbl>
    <w:p w14:paraId="3DD65A7D">
      <w:pPr>
        <w:rPr>
          <w:rFonts w:hint="eastAsia"/>
        </w:rPr>
      </w:pPr>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2010601030101010101"/>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00301D6"/>
    <w:rsid w:val="0003178E"/>
    <w:rsid w:val="00034120"/>
    <w:rsid w:val="000A7D98"/>
    <w:rsid w:val="00210366"/>
    <w:rsid w:val="00216D99"/>
    <w:rsid w:val="002230D1"/>
    <w:rsid w:val="002540A2"/>
    <w:rsid w:val="004C0783"/>
    <w:rsid w:val="004C5782"/>
    <w:rsid w:val="0052271F"/>
    <w:rsid w:val="00550E18"/>
    <w:rsid w:val="00636A37"/>
    <w:rsid w:val="00641375"/>
    <w:rsid w:val="00662410"/>
    <w:rsid w:val="0066617A"/>
    <w:rsid w:val="00685682"/>
    <w:rsid w:val="0070743C"/>
    <w:rsid w:val="00815429"/>
    <w:rsid w:val="009D0FD4"/>
    <w:rsid w:val="00AF1448"/>
    <w:rsid w:val="00B379F5"/>
    <w:rsid w:val="00BB12B0"/>
    <w:rsid w:val="00BB4201"/>
    <w:rsid w:val="00D41299"/>
    <w:rsid w:val="00D56739"/>
    <w:rsid w:val="00D902F5"/>
    <w:rsid w:val="00D96F09"/>
    <w:rsid w:val="00DD55C6"/>
    <w:rsid w:val="00E95543"/>
    <w:rsid w:val="00EB2F29"/>
    <w:rsid w:val="0C9F65A8"/>
    <w:rsid w:val="0F2B62DD"/>
    <w:rsid w:val="1308507D"/>
    <w:rsid w:val="14963293"/>
    <w:rsid w:val="26235823"/>
    <w:rsid w:val="3C357C06"/>
    <w:rsid w:val="415E2C8C"/>
    <w:rsid w:val="4B2B3687"/>
    <w:rsid w:val="50D852D8"/>
    <w:rsid w:val="53787041"/>
    <w:rsid w:val="58406388"/>
    <w:rsid w:val="620E3628"/>
    <w:rsid w:val="626F25BB"/>
    <w:rsid w:val="6B2B0470"/>
    <w:rsid w:val="6D8C5028"/>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5">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663</Words>
  <Characters>675</Characters>
  <Lines>7</Lines>
  <Paragraphs>2</Paragraphs>
  <TotalTime>1</TotalTime>
  <ScaleCrop>false</ScaleCrop>
  <LinksUpToDate>false</LinksUpToDate>
  <CharactersWithSpaces>785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2024-10-21T07:48:00Z</dcterms:created>
  <dc:creator>文档存本地丢失不负责</dc:creator>
  <cp:lastModifiedBy>鲍雅如</cp:lastModifiedBy>
  <cp:lastPrinted>2025-11-11T01:31:00Z</cp:lastPrinted>
  <dcterms:modified xsi:type="dcterms:W3CDTF">2025-11-14T08:45:32Z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