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B5527">
      <w:pPr>
        <w:jc w:val="center"/>
        <w:rPr>
          <w:rFonts w:hint="eastAsia" w:ascii="黑体" w:hAnsi="黑体" w:eastAsia="黑体" w:cs="黑体"/>
          <w:sz w:val="44"/>
          <w:szCs w:val="44"/>
        </w:rPr>
      </w:pPr>
      <w:r>
        <w:rPr>
          <w:rFonts w:hint="eastAsia" w:ascii="黑体" w:hAnsi="黑体" w:eastAsia="黑体" w:cs="黑体"/>
          <w:sz w:val="44"/>
          <w:szCs w:val="44"/>
        </w:rPr>
        <w:t xml:space="preserve">郑州轻工业大学科研成果赋权情况表   </w:t>
      </w:r>
    </w:p>
    <w:p w14:paraId="248B6CC6">
      <w:pPr>
        <w:spacing w:before="156" w:beforeLines="50"/>
        <w:jc w:val="center"/>
        <w:rPr>
          <w:rFonts w:hint="eastAsia" w:ascii="仿宋" w:hAnsi="仿宋" w:eastAsia="仿宋" w:cs="仿宋"/>
          <w:sz w:val="28"/>
          <w:szCs w:val="28"/>
        </w:rPr>
      </w:pPr>
      <w:r>
        <w:rPr>
          <w:rFonts w:hint="eastAsia" w:ascii="仿宋" w:hAnsi="仿宋" w:eastAsia="仿宋" w:cs="仿宋"/>
          <w:sz w:val="28"/>
          <w:szCs w:val="28"/>
        </w:rPr>
        <w:t xml:space="preserve">                                                                      时间：2026年9月2</w:t>
      </w:r>
      <w:r>
        <w:rPr>
          <w:rFonts w:hint="eastAsia" w:ascii="仿宋" w:hAnsi="仿宋" w:eastAsia="仿宋" w:cs="仿宋"/>
          <w:sz w:val="28"/>
          <w:szCs w:val="28"/>
          <w:lang w:val="en-US" w:eastAsia="zh-CN"/>
        </w:rPr>
        <w:t>8</w:t>
      </w:r>
      <w:r>
        <w:rPr>
          <w:rFonts w:hint="eastAsia" w:ascii="仿宋" w:hAnsi="仿宋" w:eastAsia="仿宋" w:cs="仿宋"/>
          <w:sz w:val="28"/>
          <w:szCs w:val="28"/>
        </w:rPr>
        <w:t>日</w:t>
      </w:r>
    </w:p>
    <w:tbl>
      <w:tblPr>
        <w:tblStyle w:val="4"/>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943"/>
        <w:gridCol w:w="3288"/>
        <w:gridCol w:w="1563"/>
        <w:gridCol w:w="2126"/>
        <w:gridCol w:w="1276"/>
        <w:gridCol w:w="1275"/>
        <w:gridCol w:w="1134"/>
        <w:gridCol w:w="688"/>
      </w:tblGrid>
      <w:tr w14:paraId="6852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vAlign w:val="center"/>
          </w:tcPr>
          <w:p w14:paraId="0B63FA7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序号</w:t>
            </w:r>
          </w:p>
        </w:tc>
        <w:tc>
          <w:tcPr>
            <w:tcW w:w="1943" w:type="dxa"/>
            <w:vAlign w:val="center"/>
          </w:tcPr>
          <w:p w14:paraId="516CC2F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成果名称</w:t>
            </w:r>
          </w:p>
        </w:tc>
        <w:tc>
          <w:tcPr>
            <w:tcW w:w="3288" w:type="dxa"/>
            <w:vAlign w:val="center"/>
          </w:tcPr>
          <w:p w14:paraId="49D77A7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成果内容摘要</w:t>
            </w:r>
          </w:p>
        </w:tc>
        <w:tc>
          <w:tcPr>
            <w:tcW w:w="1563" w:type="dxa"/>
            <w:vAlign w:val="center"/>
          </w:tcPr>
          <w:p w14:paraId="629551A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成果完成人</w:t>
            </w:r>
          </w:p>
        </w:tc>
        <w:tc>
          <w:tcPr>
            <w:tcW w:w="2126" w:type="dxa"/>
            <w:vAlign w:val="center"/>
          </w:tcPr>
          <w:p w14:paraId="57AE7F2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赋权类型</w:t>
            </w:r>
          </w:p>
        </w:tc>
        <w:tc>
          <w:tcPr>
            <w:tcW w:w="1276" w:type="dxa"/>
            <w:vAlign w:val="center"/>
          </w:tcPr>
          <w:p w14:paraId="4A86B08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转化</w:t>
            </w:r>
          </w:p>
          <w:p w14:paraId="6247478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方式</w:t>
            </w:r>
          </w:p>
        </w:tc>
        <w:tc>
          <w:tcPr>
            <w:tcW w:w="1275" w:type="dxa"/>
            <w:vAlign w:val="center"/>
          </w:tcPr>
          <w:p w14:paraId="1AF47E0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交易金额（万元）</w:t>
            </w:r>
          </w:p>
        </w:tc>
        <w:tc>
          <w:tcPr>
            <w:tcW w:w="1134" w:type="dxa"/>
            <w:vAlign w:val="center"/>
          </w:tcPr>
          <w:p w14:paraId="0A51FCE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受让方</w:t>
            </w:r>
          </w:p>
        </w:tc>
        <w:tc>
          <w:tcPr>
            <w:tcW w:w="688" w:type="dxa"/>
            <w:vAlign w:val="center"/>
          </w:tcPr>
          <w:p w14:paraId="3B55F20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黑体" w:hAnsi="黑体" w:eastAsia="黑体" w:cs="黑体"/>
                <w:sz w:val="18"/>
                <w:szCs w:val="18"/>
              </w:rPr>
            </w:pPr>
            <w:r>
              <w:rPr>
                <w:rFonts w:hint="eastAsia" w:ascii="黑体" w:hAnsi="黑体" w:eastAsia="黑体" w:cs="黑体"/>
                <w:sz w:val="18"/>
                <w:szCs w:val="18"/>
              </w:rPr>
              <w:t>备注</w:t>
            </w:r>
          </w:p>
        </w:tc>
      </w:tr>
      <w:tr w14:paraId="529B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2" w:hRule="atLeast"/>
        </w:trPr>
        <w:tc>
          <w:tcPr>
            <w:tcW w:w="544" w:type="dxa"/>
            <w:vAlign w:val="center"/>
          </w:tcPr>
          <w:p w14:paraId="4C01926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1943" w:type="dxa"/>
            <w:vAlign w:val="center"/>
          </w:tcPr>
          <w:p w14:paraId="331A474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napToGrid w:val="0"/>
                <w:color w:val="000000"/>
                <w:spacing w:val="-4"/>
                <w:kern w:val="0"/>
                <w:sz w:val="18"/>
                <w:szCs w:val="18"/>
              </w:rPr>
            </w:pPr>
            <w:r>
              <w:rPr>
                <w:rFonts w:hint="eastAsia" w:ascii="宋体" w:hAnsi="宋体" w:eastAsia="宋体" w:cs="宋体"/>
                <w:sz w:val="18"/>
                <w:szCs w:val="18"/>
              </w:rPr>
              <w:t>一种壳程沸腾管程冷凝的缠绕管式换热器设计方法</w:t>
            </w:r>
          </w:p>
        </w:tc>
        <w:tc>
          <w:tcPr>
            <w:tcW w:w="3288" w:type="dxa"/>
          </w:tcPr>
          <w:p w14:paraId="0A5EB0DE">
            <w:pPr>
              <w:keepNext w:val="0"/>
              <w:keepLines w:val="0"/>
              <w:pageBreakBefore w:val="0"/>
              <w:widowControl w:val="0"/>
              <w:kinsoku/>
              <w:wordWrap/>
              <w:overflowPunct/>
              <w:topLinePunct w:val="0"/>
              <w:autoSpaceDE/>
              <w:autoSpaceDN/>
              <w:bidi w:val="0"/>
              <w:adjustRightInd/>
              <w:spacing w:line="360" w:lineRule="auto"/>
              <w:ind w:firstLine="360" w:firstLineChars="200"/>
              <w:textAlignment w:val="auto"/>
              <w:rPr>
                <w:rFonts w:hint="eastAsia" w:ascii="宋体" w:hAnsi="宋体" w:eastAsia="宋体" w:cs="宋体"/>
                <w:sz w:val="18"/>
                <w:szCs w:val="18"/>
              </w:rPr>
            </w:pPr>
            <w:r>
              <w:rPr>
                <w:rFonts w:hint="eastAsia" w:ascii="宋体" w:hAnsi="宋体" w:eastAsia="宋体" w:cs="宋体"/>
                <w:sz w:val="18"/>
                <w:szCs w:val="18"/>
              </w:rPr>
              <w:t>本发明公开了一种壳程沸腾管程冷凝的缠绕管式换热器设计方法，按照管程进出口温度、壳程进出口温度、管程工质的露点和泡点、壳程工质的露点和泡点，将整个换热器分为管程冷凝-壳程液相段，管程冷凝-壳程沸腾段，管程冷凝-壳程气相段三个部分，并且分别对该缠绕管式换热器三个部分的换热量、管程表面换热系数、壳程表面换热系数、综合换热系数、管程压降、壳程压降、换热面积和轴向有效换热长度进行设计计算；管程自始至终都为冷凝相变的气液混合相态，其管程和壳程的表面换热系数与干度相关，因此，该缠绕管式换热器三个部分均采用有限体积的方法进行设计计算。本发明提出的壳程沸腾管程冷凝的缠绕管式换热器的设计方法有计算精度高、设计方法完备、计算效率高等特点，具有高度的商业价值和市场推广价值。</w:t>
            </w:r>
          </w:p>
          <w:p w14:paraId="7EEAF45C">
            <w:pPr>
              <w:keepNext w:val="0"/>
              <w:keepLines w:val="0"/>
              <w:pageBreakBefore w:val="0"/>
              <w:widowControl w:val="0"/>
              <w:kinsoku/>
              <w:wordWrap/>
              <w:overflowPunct/>
              <w:topLinePunct w:val="0"/>
              <w:autoSpaceDE/>
              <w:autoSpaceDN/>
              <w:bidi w:val="0"/>
              <w:adjustRightInd/>
              <w:spacing w:before="78" w:line="360" w:lineRule="auto"/>
              <w:jc w:val="left"/>
              <w:textAlignment w:val="auto"/>
              <w:rPr>
                <w:rFonts w:hint="eastAsia" w:ascii="宋体" w:hAnsi="宋体" w:eastAsia="宋体" w:cs="宋体"/>
                <w:snapToGrid w:val="0"/>
                <w:color w:val="000000"/>
                <w:spacing w:val="-4"/>
                <w:kern w:val="0"/>
                <w:sz w:val="18"/>
                <w:szCs w:val="18"/>
              </w:rPr>
            </w:pPr>
          </w:p>
        </w:tc>
        <w:tc>
          <w:tcPr>
            <w:tcW w:w="1563" w:type="dxa"/>
            <w:vAlign w:val="center"/>
          </w:tcPr>
          <w:p w14:paraId="34761FF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snapToGrid w:val="0"/>
                <w:color w:val="000000"/>
                <w:spacing w:val="-4"/>
                <w:kern w:val="0"/>
                <w:sz w:val="18"/>
                <w:szCs w:val="18"/>
              </w:rPr>
            </w:pPr>
            <w:r>
              <w:rPr>
                <w:rFonts w:hint="eastAsia" w:ascii="宋体" w:hAnsi="宋体" w:eastAsia="宋体" w:cs="宋体"/>
                <w:snapToGrid w:val="0"/>
                <w:color w:val="000000"/>
                <w:spacing w:val="-4"/>
                <w:kern w:val="0"/>
                <w:sz w:val="18"/>
                <w:szCs w:val="18"/>
              </w:rPr>
              <w:t>韩勇;杨伟;金听祥;李运泉;卢伟业;吴学红;冯俊波;李嘉妮。</w:t>
            </w:r>
          </w:p>
        </w:tc>
        <w:tc>
          <w:tcPr>
            <w:tcW w:w="2126" w:type="dxa"/>
            <w:vAlign w:val="center"/>
          </w:tcPr>
          <w:p w14:paraId="01E4219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napToGrid w:val="0"/>
                <w:spacing w:val="-4"/>
                <w:kern w:val="0"/>
                <w:sz w:val="18"/>
                <w:szCs w:val="18"/>
              </w:rPr>
            </w:pPr>
            <w:r>
              <w:rPr>
                <w:rFonts w:hint="eastAsia" w:ascii="宋体" w:hAnsi="宋体" w:eastAsia="宋体" w:cs="宋体"/>
                <w:snapToGrid w:val="0"/>
                <w:spacing w:val="-4"/>
                <w:kern w:val="0"/>
                <w:sz w:val="18"/>
                <w:szCs w:val="18"/>
              </w:rPr>
              <w:t>长期使用权（10年）</w:t>
            </w:r>
          </w:p>
        </w:tc>
        <w:tc>
          <w:tcPr>
            <w:tcW w:w="1276" w:type="dxa"/>
            <w:vAlign w:val="center"/>
          </w:tcPr>
          <w:p w14:paraId="46E9918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技术实施许可</w:t>
            </w:r>
          </w:p>
        </w:tc>
        <w:tc>
          <w:tcPr>
            <w:tcW w:w="1275" w:type="dxa"/>
            <w:vAlign w:val="center"/>
          </w:tcPr>
          <w:p w14:paraId="33986AA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3.5</w:t>
            </w:r>
          </w:p>
        </w:tc>
        <w:tc>
          <w:tcPr>
            <w:tcW w:w="1134" w:type="dxa"/>
            <w:vAlign w:val="center"/>
          </w:tcPr>
          <w:p w14:paraId="1D7800C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napToGrid w:val="0"/>
                <w:color w:val="000000"/>
                <w:spacing w:val="-3"/>
                <w:kern w:val="0"/>
                <w:sz w:val="18"/>
                <w:szCs w:val="18"/>
              </w:rPr>
            </w:pPr>
            <w:r>
              <w:rPr>
                <w:rFonts w:hint="eastAsia" w:ascii="宋体" w:hAnsi="宋体" w:eastAsia="宋体" w:cs="宋体"/>
                <w:snapToGrid w:val="0"/>
                <w:color w:val="000000"/>
                <w:spacing w:val="-4"/>
                <w:kern w:val="0"/>
                <w:sz w:val="18"/>
                <w:szCs w:val="18"/>
              </w:rPr>
              <w:t>锐申科技（海南）有限公司</w:t>
            </w:r>
          </w:p>
        </w:tc>
        <w:tc>
          <w:tcPr>
            <w:tcW w:w="688" w:type="dxa"/>
            <w:vAlign w:val="center"/>
          </w:tcPr>
          <w:p w14:paraId="7ADD582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仿宋" w:hAnsi="仿宋" w:eastAsia="仿宋" w:cs="仿宋"/>
                <w:sz w:val="18"/>
                <w:szCs w:val="18"/>
              </w:rPr>
            </w:pPr>
          </w:p>
        </w:tc>
      </w:tr>
      <w:tr w14:paraId="3C85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544" w:type="dxa"/>
            <w:vAlign w:val="center"/>
          </w:tcPr>
          <w:p w14:paraId="11FABFEB">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1943" w:type="dxa"/>
            <w:shd w:val="clear" w:color="auto" w:fill="auto"/>
            <w:vAlign w:val="center"/>
          </w:tcPr>
          <w:p w14:paraId="6D46BF3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napToGrid w:val="0"/>
                <w:color w:val="000000"/>
                <w:spacing w:val="-4"/>
                <w:kern w:val="0"/>
                <w:sz w:val="18"/>
                <w:szCs w:val="18"/>
                <w:lang w:val="en-US" w:eastAsia="zh-CN" w:bidi="ar-SA"/>
              </w:rPr>
            </w:pPr>
            <w:r>
              <w:rPr>
                <w:rFonts w:hint="eastAsia" w:ascii="宋体" w:hAnsi="宋体" w:eastAsia="宋体" w:cs="宋体"/>
                <w:sz w:val="18"/>
                <w:szCs w:val="18"/>
              </w:rPr>
              <w:t>一种回转窑烧结温度概率区间预测方法、系统及装置</w:t>
            </w:r>
          </w:p>
        </w:tc>
        <w:tc>
          <w:tcPr>
            <w:tcW w:w="3288" w:type="dxa"/>
            <w:shd w:val="clear" w:color="auto" w:fill="auto"/>
            <w:vAlign w:val="top"/>
          </w:tcPr>
          <w:p w14:paraId="2DFDBA1C">
            <w:pPr>
              <w:keepNext w:val="0"/>
              <w:keepLines w:val="0"/>
              <w:pageBreakBefore w:val="0"/>
              <w:widowControl w:val="0"/>
              <w:kinsoku/>
              <w:wordWrap/>
              <w:overflowPunct/>
              <w:topLinePunct w:val="0"/>
              <w:autoSpaceDE/>
              <w:autoSpaceDN/>
              <w:bidi w:val="0"/>
              <w:adjustRightInd/>
              <w:spacing w:before="78" w:line="360" w:lineRule="auto"/>
              <w:jc w:val="left"/>
              <w:textAlignment w:val="auto"/>
              <w:rPr>
                <w:rFonts w:hint="eastAsia" w:ascii="宋体" w:hAnsi="宋体" w:eastAsia="宋体" w:cs="宋体"/>
                <w:snapToGrid w:val="0"/>
                <w:color w:val="000000"/>
                <w:spacing w:val="-4"/>
                <w:kern w:val="0"/>
                <w:sz w:val="18"/>
                <w:szCs w:val="18"/>
                <w:lang w:val="en-US" w:eastAsia="zh-CN" w:bidi="ar-SA"/>
              </w:rPr>
            </w:pPr>
            <w:r>
              <w:rPr>
                <w:rFonts w:hint="eastAsia" w:ascii="宋体" w:hAnsi="宋体" w:eastAsia="宋体" w:cs="宋体"/>
                <w:color w:val="1F1F1F"/>
                <w:sz w:val="18"/>
                <w:szCs w:val="18"/>
                <w:shd w:val="clear" w:color="auto" w:fill="FFFFFF"/>
              </w:rPr>
              <w:t>本发明提供一种回转窑烧结温度概率区间预测方法、系统及装置，通过引入并行多头自注意机制，将多头自注意特征与烧结温度预测模型的上下文向量进行融合，提高模型对复杂动态关系和长期依赖关系的建模能力。同时采用高斯过程回归方法进行烧结温度概率区间预测，实现对预测不确定性的量化，为回转窑烧结过程监测与控制提供参考。</w:t>
            </w:r>
          </w:p>
        </w:tc>
        <w:tc>
          <w:tcPr>
            <w:tcW w:w="1563" w:type="dxa"/>
            <w:shd w:val="clear" w:color="auto" w:fill="auto"/>
            <w:vAlign w:val="center"/>
          </w:tcPr>
          <w:p w14:paraId="21F8A71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snapToGrid w:val="0"/>
                <w:color w:val="000000"/>
                <w:spacing w:val="-4"/>
                <w:kern w:val="0"/>
                <w:sz w:val="18"/>
                <w:szCs w:val="18"/>
              </w:rPr>
            </w:pPr>
            <w:r>
              <w:rPr>
                <w:rFonts w:hint="eastAsia" w:ascii="宋体" w:hAnsi="宋体" w:eastAsia="宋体" w:cs="宋体"/>
                <w:snapToGrid w:val="0"/>
                <w:color w:val="000000"/>
                <w:spacing w:val="-4"/>
                <w:kern w:val="0"/>
                <w:sz w:val="18"/>
                <w:szCs w:val="18"/>
              </w:rPr>
              <w:t>张雷;洪斌斌;张二强;贺振东;张杰;李星仪;任国峰;赵敏</w:t>
            </w:r>
          </w:p>
          <w:p w14:paraId="40C0555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snapToGrid w:val="0"/>
                <w:color w:val="000000"/>
                <w:spacing w:val="-4"/>
                <w:kern w:val="0"/>
                <w:sz w:val="18"/>
                <w:szCs w:val="18"/>
                <w:lang w:val="en-US" w:eastAsia="zh-CN" w:bidi="ar-SA"/>
              </w:rPr>
            </w:pPr>
            <w:r>
              <w:rPr>
                <w:rFonts w:hint="eastAsia" w:ascii="宋体" w:hAnsi="宋体" w:eastAsia="宋体" w:cs="宋体"/>
                <w:snapToGrid w:val="0"/>
                <w:color w:val="000000"/>
                <w:spacing w:val="-4"/>
                <w:kern w:val="0"/>
                <w:sz w:val="18"/>
                <w:szCs w:val="18"/>
              </w:rPr>
              <w:t>刁智华;李银华</w:t>
            </w:r>
          </w:p>
        </w:tc>
        <w:tc>
          <w:tcPr>
            <w:tcW w:w="2126" w:type="dxa"/>
            <w:shd w:val="clear" w:color="auto" w:fill="auto"/>
            <w:vAlign w:val="center"/>
          </w:tcPr>
          <w:p w14:paraId="23DD9BD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napToGrid w:val="0"/>
                <w:spacing w:val="-4"/>
                <w:kern w:val="0"/>
                <w:sz w:val="18"/>
                <w:szCs w:val="18"/>
                <w:lang w:val="en-US" w:eastAsia="zh-CN" w:bidi="ar-SA"/>
              </w:rPr>
            </w:pPr>
            <w:r>
              <w:rPr>
                <w:rFonts w:hint="eastAsia" w:ascii="宋体" w:hAnsi="宋体" w:eastAsia="宋体" w:cs="宋体"/>
                <w:snapToGrid w:val="0"/>
                <w:spacing w:val="-4"/>
                <w:kern w:val="0"/>
                <w:sz w:val="18"/>
                <w:szCs w:val="18"/>
              </w:rPr>
              <w:t>长期使用权（10年）</w:t>
            </w:r>
          </w:p>
        </w:tc>
        <w:tc>
          <w:tcPr>
            <w:tcW w:w="1276" w:type="dxa"/>
            <w:shd w:val="clear" w:color="auto" w:fill="auto"/>
            <w:vAlign w:val="center"/>
          </w:tcPr>
          <w:p w14:paraId="0B2E559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技术实施许可</w:t>
            </w:r>
          </w:p>
        </w:tc>
        <w:tc>
          <w:tcPr>
            <w:tcW w:w="1275" w:type="dxa"/>
            <w:shd w:val="clear" w:color="auto" w:fill="auto"/>
            <w:vAlign w:val="center"/>
          </w:tcPr>
          <w:p w14:paraId="38EA8B6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5</w:t>
            </w:r>
          </w:p>
        </w:tc>
        <w:tc>
          <w:tcPr>
            <w:tcW w:w="1134" w:type="dxa"/>
            <w:shd w:val="clear" w:color="auto" w:fill="auto"/>
            <w:vAlign w:val="center"/>
          </w:tcPr>
          <w:p w14:paraId="28161A7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snapToGrid w:val="0"/>
                <w:color w:val="000000"/>
                <w:spacing w:val="-3"/>
                <w:kern w:val="0"/>
                <w:sz w:val="18"/>
                <w:szCs w:val="18"/>
                <w:lang w:val="en-US" w:eastAsia="zh-CN" w:bidi="ar-SA"/>
              </w:rPr>
            </w:pPr>
            <w:r>
              <w:rPr>
                <w:rFonts w:hint="eastAsia" w:ascii="宋体" w:hAnsi="宋体" w:eastAsia="宋体" w:cs="宋体"/>
                <w:sz w:val="18"/>
                <w:szCs w:val="18"/>
              </w:rPr>
              <w:t>河南美厚电子科技有限公司</w:t>
            </w:r>
          </w:p>
        </w:tc>
        <w:tc>
          <w:tcPr>
            <w:tcW w:w="688" w:type="dxa"/>
            <w:vAlign w:val="center"/>
          </w:tcPr>
          <w:p w14:paraId="3E79067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仿宋" w:hAnsi="仿宋" w:eastAsia="仿宋" w:cs="仿宋"/>
                <w:sz w:val="18"/>
                <w:szCs w:val="18"/>
              </w:rPr>
            </w:pPr>
          </w:p>
        </w:tc>
      </w:tr>
    </w:tbl>
    <w:p w14:paraId="0452F248">
      <w:pPr>
        <w:keepNext w:val="0"/>
        <w:keepLines w:val="0"/>
        <w:pageBreakBefore w:val="0"/>
        <w:widowControl w:val="0"/>
        <w:kinsoku/>
        <w:wordWrap/>
        <w:overflowPunct/>
        <w:topLinePunct w:val="0"/>
        <w:autoSpaceDE/>
        <w:autoSpaceDN/>
        <w:bidi w:val="0"/>
        <w:adjustRightInd/>
        <w:spacing w:line="360" w:lineRule="auto"/>
        <w:textAlignment w:val="auto"/>
        <w:rPr>
          <w:sz w:val="18"/>
          <w:szCs w:val="18"/>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RiOTBlZmZhNDY5MTY5YzE1ZjQxMTAwNzJmMWEwMDYifQ=="/>
  </w:docVars>
  <w:rsids>
    <w:rsidRoot w:val="1308507D"/>
    <w:rsid w:val="00040413"/>
    <w:rsid w:val="000C3878"/>
    <w:rsid w:val="000C7228"/>
    <w:rsid w:val="000D00E3"/>
    <w:rsid w:val="00106118"/>
    <w:rsid w:val="00120970"/>
    <w:rsid w:val="001B0CA6"/>
    <w:rsid w:val="002228ED"/>
    <w:rsid w:val="0025075A"/>
    <w:rsid w:val="002615E8"/>
    <w:rsid w:val="002B684C"/>
    <w:rsid w:val="002C0D16"/>
    <w:rsid w:val="00330CF3"/>
    <w:rsid w:val="003341FE"/>
    <w:rsid w:val="00395A7A"/>
    <w:rsid w:val="003F01CE"/>
    <w:rsid w:val="00413EC8"/>
    <w:rsid w:val="0046217B"/>
    <w:rsid w:val="004735BB"/>
    <w:rsid w:val="00516D36"/>
    <w:rsid w:val="005C2CED"/>
    <w:rsid w:val="005D3C76"/>
    <w:rsid w:val="00630391"/>
    <w:rsid w:val="006D1792"/>
    <w:rsid w:val="00701DC4"/>
    <w:rsid w:val="00702AB7"/>
    <w:rsid w:val="00764041"/>
    <w:rsid w:val="00775708"/>
    <w:rsid w:val="007D193C"/>
    <w:rsid w:val="008E6284"/>
    <w:rsid w:val="00900E84"/>
    <w:rsid w:val="009B182F"/>
    <w:rsid w:val="00A729D4"/>
    <w:rsid w:val="00B67169"/>
    <w:rsid w:val="00BD7930"/>
    <w:rsid w:val="00BF6EBD"/>
    <w:rsid w:val="00C12B7D"/>
    <w:rsid w:val="00C20D83"/>
    <w:rsid w:val="00C56206"/>
    <w:rsid w:val="00C679F0"/>
    <w:rsid w:val="00C906FA"/>
    <w:rsid w:val="00EE4C54"/>
    <w:rsid w:val="00F6367E"/>
    <w:rsid w:val="00FA6CC9"/>
    <w:rsid w:val="00FC5A9C"/>
    <w:rsid w:val="00FD4D31"/>
    <w:rsid w:val="00FF4B21"/>
    <w:rsid w:val="0C000409"/>
    <w:rsid w:val="0F2B62DD"/>
    <w:rsid w:val="12165D6A"/>
    <w:rsid w:val="126F5B38"/>
    <w:rsid w:val="1308507D"/>
    <w:rsid w:val="18934A33"/>
    <w:rsid w:val="1D112199"/>
    <w:rsid w:val="29C627A9"/>
    <w:rsid w:val="2EC37689"/>
    <w:rsid w:val="3E9C29F6"/>
    <w:rsid w:val="415E2C8C"/>
    <w:rsid w:val="50D852D8"/>
    <w:rsid w:val="53A765AD"/>
    <w:rsid w:val="54234ED2"/>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customStyle="1" w:styleId="7">
    <w:name w:val="页眉 字符"/>
    <w:basedOn w:val="5"/>
    <w:link w:val="3"/>
    <w:qFormat/>
    <w:uiPriority w:val="0"/>
    <w:rPr>
      <w:rFonts w:ascii="Calibri" w:hAnsi="Calibri"/>
      <w:kern w:val="2"/>
      <w:sz w:val="18"/>
      <w:szCs w:val="18"/>
    </w:rPr>
  </w:style>
  <w:style w:type="character" w:customStyle="1" w:styleId="8">
    <w:name w:val="页脚 字符"/>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711</Words>
  <Characters>719</Characters>
  <Lines>4</Lines>
  <Paragraphs>1</Paragraphs>
  <TotalTime>1</TotalTime>
  <ScaleCrop>false</ScaleCrop>
  <LinksUpToDate>false</LinksUpToDate>
  <CharactersWithSpaces>792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2026-09-24T09:10:00Z</dcterms:created>
  <dc:creator>文档存本地丢失不负责</dc:creator>
  <cp:lastModifiedBy>鲍雅如</cp:lastModifiedBy>
  <cp:lastPrinted>2025-06-20T07:29:00Z</cp:lastPrinted>
  <dcterms:modified xsi:type="dcterms:W3CDTF">2026-09-28T02:55:59Z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7EE698EC47934C90A723F40060089029_13</vt:lpwstr>
  </property>
  <property fmtid="{D5CDD505-2E9C-101B-9397-08002B2CF9AE}" pid="4" name="KSOTemplateDocerSaveRecord">
    <vt:lpwstr>eyJoZGlkIjoiNjRiMWNhNzcyYTNmZTkwZTQxMjQ2NTA4NDVmOGU4OGYiLCJ1c2VySWQiOiIzMDA5MzIwNzcifQ==</vt:lpwstr>
  </property>
</Properties>
</file>