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3F2AB">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587139C6">
      <w:pPr>
        <w:spacing w:before="156" w:beforeLines="50"/>
        <w:jc w:val="center"/>
        <w:rPr>
          <w:rFonts w:hint="eastAsia"/>
          <w:lang w:val="en-US" w:eastAsia="zh-CN"/>
        </w:rPr>
      </w:pPr>
      <w:r>
        <w:rPr>
          <w:rFonts w:hint="eastAsia" w:ascii="仿宋" w:hAnsi="仿宋" w:eastAsia="仿宋" w:cs="仿宋"/>
          <w:sz w:val="28"/>
          <w:szCs w:val="28"/>
        </w:rPr>
        <w:t xml:space="preserve">                                                                      时间：2026年</w:t>
      </w:r>
      <w:r>
        <w:rPr>
          <w:rFonts w:hint="eastAsia" w:ascii="仿宋" w:hAnsi="仿宋" w:eastAsia="仿宋" w:cs="仿宋"/>
          <w:sz w:val="28"/>
          <w:szCs w:val="28"/>
          <w:lang w:val="en-US" w:eastAsia="zh-CN"/>
        </w:rPr>
        <w:t>5</w:t>
      </w:r>
      <w:r>
        <w:rPr>
          <w:rFonts w:hint="eastAsia" w:ascii="仿宋" w:hAnsi="仿宋" w:eastAsia="仿宋" w:cs="仿宋"/>
          <w:sz w:val="28"/>
          <w:szCs w:val="28"/>
        </w:rPr>
        <w:t>月</w:t>
      </w:r>
      <w:r>
        <w:rPr>
          <w:rFonts w:hint="eastAsia" w:ascii="仿宋" w:hAnsi="仿宋" w:eastAsia="仿宋" w:cs="仿宋"/>
          <w:sz w:val="28"/>
          <w:szCs w:val="28"/>
          <w:lang w:val="en-US" w:eastAsia="zh-CN"/>
        </w:rPr>
        <w:t>19</w:t>
      </w:r>
      <w:r>
        <w:rPr>
          <w:rFonts w:hint="eastAsia" w:ascii="仿宋" w:hAnsi="仿宋" w:eastAsia="仿宋" w:cs="仿宋"/>
          <w:sz w:val="28"/>
          <w:szCs w:val="28"/>
        </w:rPr>
        <w:t>日</w:t>
      </w:r>
    </w:p>
    <w:tbl>
      <w:tblPr>
        <w:tblStyle w:val="5"/>
        <w:tblpPr w:leftFromText="180" w:rightFromText="180" w:vertAnchor="text" w:horzAnchor="page" w:tblpX="1551" w:tblpY="435"/>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2343"/>
        <w:gridCol w:w="3787"/>
        <w:gridCol w:w="1450"/>
        <w:gridCol w:w="1450"/>
        <w:gridCol w:w="1070"/>
        <w:gridCol w:w="965"/>
        <w:gridCol w:w="1759"/>
        <w:gridCol w:w="803"/>
      </w:tblGrid>
      <w:tr w14:paraId="2C1E6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93" w:type="pct"/>
            <w:vAlign w:val="center"/>
          </w:tcPr>
          <w:p w14:paraId="43B32AC0">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序号</w:t>
            </w:r>
          </w:p>
        </w:tc>
        <w:tc>
          <w:tcPr>
            <w:tcW w:w="826" w:type="pct"/>
            <w:vAlign w:val="center"/>
          </w:tcPr>
          <w:p w14:paraId="4B7BEDF4">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成果名称</w:t>
            </w:r>
          </w:p>
        </w:tc>
        <w:tc>
          <w:tcPr>
            <w:tcW w:w="1335" w:type="pct"/>
            <w:vAlign w:val="center"/>
          </w:tcPr>
          <w:p w14:paraId="6C647A30">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成果内容摘要</w:t>
            </w:r>
          </w:p>
        </w:tc>
        <w:tc>
          <w:tcPr>
            <w:tcW w:w="511" w:type="pct"/>
            <w:vAlign w:val="center"/>
          </w:tcPr>
          <w:p w14:paraId="65B06764">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成果完成人</w:t>
            </w:r>
          </w:p>
        </w:tc>
        <w:tc>
          <w:tcPr>
            <w:tcW w:w="511" w:type="pct"/>
            <w:vAlign w:val="center"/>
          </w:tcPr>
          <w:p w14:paraId="3B7B4D28">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赋权类型</w:t>
            </w:r>
          </w:p>
        </w:tc>
        <w:tc>
          <w:tcPr>
            <w:tcW w:w="377" w:type="pct"/>
            <w:vAlign w:val="center"/>
          </w:tcPr>
          <w:p w14:paraId="044BCB9B">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转化</w:t>
            </w:r>
          </w:p>
          <w:p w14:paraId="6ACEA524">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方式</w:t>
            </w:r>
          </w:p>
        </w:tc>
        <w:tc>
          <w:tcPr>
            <w:tcW w:w="340" w:type="pct"/>
            <w:vAlign w:val="center"/>
          </w:tcPr>
          <w:p w14:paraId="14A239E3">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交易金额（万元）</w:t>
            </w:r>
          </w:p>
        </w:tc>
        <w:tc>
          <w:tcPr>
            <w:tcW w:w="620" w:type="pct"/>
            <w:vAlign w:val="center"/>
          </w:tcPr>
          <w:p w14:paraId="2E936AD8">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受让方</w:t>
            </w:r>
          </w:p>
        </w:tc>
        <w:tc>
          <w:tcPr>
            <w:tcW w:w="283" w:type="pct"/>
            <w:vAlign w:val="center"/>
          </w:tcPr>
          <w:p w14:paraId="6876AED7">
            <w:pPr>
              <w:keepNext/>
              <w:snapToGrid w:val="0"/>
              <w:spacing w:line="340" w:lineRule="atLeast"/>
              <w:jc w:val="center"/>
              <w:rPr>
                <w:rFonts w:ascii="黑体" w:hAnsi="黑体" w:eastAsia="黑体" w:cs="黑体"/>
                <w:sz w:val="24"/>
                <w:szCs w:val="24"/>
              </w:rPr>
            </w:pPr>
            <w:r>
              <w:rPr>
                <w:rFonts w:hint="eastAsia" w:ascii="黑体" w:hAnsi="黑体" w:eastAsia="黑体" w:cs="黑体"/>
                <w:sz w:val="24"/>
                <w:szCs w:val="24"/>
              </w:rPr>
              <w:t>备注</w:t>
            </w:r>
          </w:p>
        </w:tc>
      </w:tr>
      <w:tr w14:paraId="25CDF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93" w:type="pct"/>
            <w:vAlign w:val="center"/>
          </w:tcPr>
          <w:p w14:paraId="4CBC2234">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826" w:type="pct"/>
            <w:shd w:val="clear"/>
            <w:vAlign w:val="center"/>
          </w:tcPr>
          <w:p w14:paraId="76777E4A">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z w:val="24"/>
                <w:szCs w:val="24"/>
              </w:rPr>
              <w:t>一种</w:t>
            </w:r>
            <w:r>
              <w:rPr>
                <w:rFonts w:hint="eastAsia" w:ascii="仿宋" w:hAnsi="仿宋" w:eastAsia="仿宋" w:cs="仿宋"/>
                <w:sz w:val="24"/>
                <w:szCs w:val="24"/>
                <w:lang w:val="en-US" w:eastAsia="zh-CN"/>
              </w:rPr>
              <w:t>层间距可调的钠离子电池用硒化铜纳米片阵列</w:t>
            </w:r>
            <w:r>
              <w:rPr>
                <w:rFonts w:hint="eastAsia" w:ascii="仿宋" w:hAnsi="仿宋" w:eastAsia="仿宋" w:cs="仿宋"/>
                <w:sz w:val="24"/>
                <w:szCs w:val="24"/>
              </w:rPr>
              <w:t>的制备方法及其应用</w:t>
            </w:r>
          </w:p>
        </w:tc>
        <w:tc>
          <w:tcPr>
            <w:tcW w:w="1335" w:type="pct"/>
            <w:shd w:val="clear"/>
            <w:vAlign w:val="center"/>
          </w:tcPr>
          <w:p w14:paraId="575E4992">
            <w:pPr>
              <w:keepNext/>
              <w:keepLines w:val="0"/>
              <w:pageBreakBefore w:val="0"/>
              <w:widowControl w:val="0"/>
              <w:kinsoku/>
              <w:wordWrap/>
              <w:overflowPunct/>
              <w:topLinePunct w:val="0"/>
              <w:autoSpaceDE/>
              <w:autoSpaceDN/>
              <w:bidi w:val="0"/>
              <w:adjustRightInd/>
              <w:snapToGrid w:val="0"/>
              <w:spacing w:line="640" w:lineRule="atLeast"/>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bCs/>
                <w:snapToGrid w:val="0"/>
                <w:color w:val="000000"/>
                <w:spacing w:val="-4"/>
                <w:kern w:val="0"/>
                <w:sz w:val="24"/>
                <w:szCs w:val="24"/>
              </w:rPr>
              <w:t>本发明提供了一种层间距可调的钠离子电池用硒化铜纳米片阵列的制备方法及其应用,所述硒化铜纳米片阵列是以高纯铜箔,硒源,氢氧化钠,强还原剂,插层剂为原料,以水为溶剂,在20～80℃下反应0.5～4 h,获得一种层间距可调的钠离子电池用硒化铜纳米片阵列.本发明的突出特点在于以较低的温度实现硒化铜层间距的调控,且该材料制备方法简单,能耗低,易于工业化大规模生产;其次硒化铜纳米片阵列排列一致性好,形貌可控,具有较高的比表面积.该材料用作钠离子电池负极材料时,表现出比容量高,倍率性能好,循环性能优越的优点.因此该材料有望在钠离子电池以及其他碱金属离子电池,热电材料等领域取得广泛应用。</w:t>
            </w:r>
          </w:p>
        </w:tc>
        <w:tc>
          <w:tcPr>
            <w:tcW w:w="511" w:type="pct"/>
            <w:shd w:val="clear"/>
            <w:vAlign w:val="center"/>
          </w:tcPr>
          <w:p w14:paraId="6208DA83">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rPr>
            </w:pPr>
            <w:r>
              <w:rPr>
                <w:rFonts w:hint="eastAsia" w:ascii="仿宋" w:hAnsi="仿宋" w:eastAsia="仿宋" w:cs="仿宋"/>
                <w:snapToGrid w:val="0"/>
                <w:color w:val="000000"/>
                <w:spacing w:val="-4"/>
                <w:kern w:val="0"/>
                <w:sz w:val="24"/>
                <w:szCs w:val="24"/>
              </w:rPr>
              <w:t>肖元化</w:t>
            </w:r>
          </w:p>
          <w:p w14:paraId="3E0E4DF8">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rPr>
            </w:pPr>
            <w:r>
              <w:rPr>
                <w:rFonts w:hint="eastAsia" w:ascii="仿宋" w:hAnsi="仿宋" w:eastAsia="仿宋" w:cs="仿宋"/>
                <w:snapToGrid w:val="0"/>
                <w:color w:val="000000"/>
                <w:spacing w:val="-4"/>
                <w:kern w:val="0"/>
                <w:sz w:val="24"/>
                <w:szCs w:val="24"/>
              </w:rPr>
              <w:t>方少明</w:t>
            </w:r>
          </w:p>
          <w:p w14:paraId="580257F5">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赵晓兵</w:t>
            </w:r>
          </w:p>
          <w:p w14:paraId="65019DD7">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rPr>
            </w:pPr>
            <w:r>
              <w:rPr>
                <w:rFonts w:hint="eastAsia" w:ascii="仿宋" w:hAnsi="仿宋" w:eastAsia="仿宋" w:cs="仿宋"/>
                <w:snapToGrid w:val="0"/>
                <w:color w:val="000000"/>
                <w:spacing w:val="-4"/>
                <w:kern w:val="0"/>
                <w:sz w:val="24"/>
                <w:szCs w:val="24"/>
              </w:rPr>
              <w:t>王雪兆</w:t>
            </w:r>
          </w:p>
          <w:p w14:paraId="50DB1BAF">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周立明</w:t>
            </w:r>
          </w:p>
          <w:p w14:paraId="09F26D21">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吴诗德</w:t>
            </w:r>
          </w:p>
          <w:p w14:paraId="4011DF5F">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张凯扬</w:t>
            </w:r>
          </w:p>
          <w:p w14:paraId="4A9522D8">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bidi="ar-SA"/>
              </w:rPr>
            </w:pPr>
          </w:p>
        </w:tc>
        <w:tc>
          <w:tcPr>
            <w:tcW w:w="511" w:type="pct"/>
            <w:shd w:val="clear"/>
            <w:vAlign w:val="center"/>
          </w:tcPr>
          <w:p w14:paraId="04CB3541">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lang w:val="en-US" w:eastAsia="zh-CN"/>
              </w:rPr>
              <w:t>专利权转让</w:t>
            </w:r>
          </w:p>
        </w:tc>
        <w:tc>
          <w:tcPr>
            <w:tcW w:w="377" w:type="pct"/>
            <w:shd w:val="clear"/>
            <w:vAlign w:val="center"/>
          </w:tcPr>
          <w:p w14:paraId="78DE12D2">
            <w:pPr>
              <w:keepNext/>
              <w:keepLines w:val="0"/>
              <w:pageBreakBefore w:val="0"/>
              <w:widowControl w:val="0"/>
              <w:kinsoku/>
              <w:wordWrap/>
              <w:overflowPunct/>
              <w:topLinePunct w:val="0"/>
              <w:autoSpaceDE/>
              <w:autoSpaceDN/>
              <w:bidi w:val="0"/>
              <w:adjustRightInd/>
              <w:spacing w:line="640" w:lineRule="atLeas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rPr>
              <w:t>技术</w:t>
            </w:r>
            <w:r>
              <w:rPr>
                <w:rFonts w:hint="eastAsia" w:ascii="仿宋" w:hAnsi="仿宋" w:eastAsia="仿宋" w:cs="仿宋"/>
                <w:sz w:val="24"/>
                <w:szCs w:val="24"/>
                <w:lang w:val="en-US" w:eastAsia="zh-CN"/>
              </w:rPr>
              <w:t>转让</w:t>
            </w:r>
          </w:p>
        </w:tc>
        <w:tc>
          <w:tcPr>
            <w:tcW w:w="340" w:type="pct"/>
            <w:shd w:val="clear"/>
            <w:vAlign w:val="center"/>
          </w:tcPr>
          <w:p w14:paraId="39751C7E">
            <w:pPr>
              <w:keepNext/>
              <w:keepLines w:val="0"/>
              <w:pageBreakBefore w:val="0"/>
              <w:widowControl w:val="0"/>
              <w:kinsoku/>
              <w:wordWrap/>
              <w:overflowPunct/>
              <w:topLinePunct w:val="0"/>
              <w:autoSpaceDE/>
              <w:autoSpaceDN/>
              <w:bidi w:val="0"/>
              <w:adjustRightInd/>
              <w:spacing w:line="640" w:lineRule="atLeas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rPr>
              <w:t>3.2</w:t>
            </w:r>
          </w:p>
        </w:tc>
        <w:tc>
          <w:tcPr>
            <w:tcW w:w="620" w:type="pct"/>
            <w:shd w:val="clear"/>
            <w:vAlign w:val="center"/>
          </w:tcPr>
          <w:p w14:paraId="5E30B9AF">
            <w:pPr>
              <w:keepNext/>
              <w:keepLines w:val="0"/>
              <w:pageBreakBefore w:val="0"/>
              <w:widowControl w:val="0"/>
              <w:kinsoku/>
              <w:wordWrap/>
              <w:overflowPunct/>
              <w:topLinePunct w:val="0"/>
              <w:autoSpaceDE/>
              <w:autoSpaceDN/>
              <w:bidi w:val="0"/>
              <w:adjustRightInd/>
              <w:spacing w:line="640" w:lineRule="atLeast"/>
              <w:jc w:val="center"/>
              <w:textAlignment w:val="auto"/>
              <w:rPr>
                <w:rFonts w:hint="eastAsia"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szCs w:val="24"/>
              </w:rPr>
              <w:t xml:space="preserve">湖南好风科技有限公司  </w:t>
            </w:r>
          </w:p>
        </w:tc>
        <w:tc>
          <w:tcPr>
            <w:tcW w:w="283" w:type="pct"/>
            <w:vAlign w:val="center"/>
          </w:tcPr>
          <w:p w14:paraId="6CD601AF">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z w:val="24"/>
                <w:szCs w:val="24"/>
              </w:rPr>
            </w:pPr>
          </w:p>
        </w:tc>
      </w:tr>
      <w:tr w14:paraId="6773B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193" w:type="pct"/>
            <w:vAlign w:val="center"/>
          </w:tcPr>
          <w:p w14:paraId="4D91FDA0">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826" w:type="pct"/>
            <w:shd w:val="clear"/>
            <w:vAlign w:val="center"/>
          </w:tcPr>
          <w:p w14:paraId="057F75FB">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一种层间距、孔体积可调的钠离子电池用层次硫化铜微球材料的制备方法</w:t>
            </w:r>
          </w:p>
        </w:tc>
        <w:tc>
          <w:tcPr>
            <w:tcW w:w="1335" w:type="pct"/>
            <w:shd w:val="clear"/>
            <w:vAlign w:val="center"/>
          </w:tcPr>
          <w:p w14:paraId="16C9CABF">
            <w:pPr>
              <w:keepNext/>
              <w:keepLines w:val="0"/>
              <w:pageBreakBefore w:val="0"/>
              <w:widowControl w:val="0"/>
              <w:kinsoku/>
              <w:wordWrap/>
              <w:overflowPunct/>
              <w:topLinePunct w:val="0"/>
              <w:autoSpaceDE/>
              <w:autoSpaceDN/>
              <w:bidi w:val="0"/>
              <w:adjustRightInd/>
              <w:snapToGrid w:val="0"/>
              <w:spacing w:line="640" w:lineRule="atLeast"/>
              <w:textAlignment w:val="auto"/>
              <w:rPr>
                <w:rFonts w:hint="eastAsia" w:ascii="仿宋" w:hAnsi="仿宋" w:eastAsia="仿宋" w:cs="仿宋"/>
                <w:bCs/>
                <w:snapToGrid w:val="0"/>
                <w:color w:val="000000"/>
                <w:spacing w:val="-4"/>
                <w:kern w:val="0"/>
                <w:sz w:val="24"/>
                <w:szCs w:val="24"/>
                <w:lang w:val="en-US" w:eastAsia="zh-CN" w:bidi="ar-SA"/>
              </w:rPr>
            </w:pPr>
            <w:r>
              <w:rPr>
                <w:rFonts w:hint="eastAsia" w:ascii="仿宋" w:hAnsi="仿宋" w:eastAsia="仿宋" w:cs="仿宋"/>
                <w:bCs/>
                <w:snapToGrid w:val="0"/>
                <w:color w:val="000000"/>
                <w:spacing w:val="-4"/>
                <w:kern w:val="0"/>
                <w:sz w:val="24"/>
                <w:szCs w:val="24"/>
              </w:rPr>
              <w:t>本专利针对钠离子电池材料循环稳定性差、倍率性能不足的问题，提出一种通过调控层间距和孔体积的硫化铜微球制备方法。以铜盐、硫盐及表面活性剂为原料，在水与有机溶剂混合体系中高压反应，获得粒径均一、分散性好的硫化铜微球，显著提升电化学储能性能。该方法操作简单、产率高，为高性能钠离子电池材料的开发提供了新思路。</w:t>
            </w:r>
          </w:p>
        </w:tc>
        <w:tc>
          <w:tcPr>
            <w:tcW w:w="511" w:type="pct"/>
            <w:shd w:val="clear"/>
            <w:vAlign w:val="center"/>
          </w:tcPr>
          <w:p w14:paraId="5E644975">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肖元化</w:t>
            </w:r>
          </w:p>
          <w:p w14:paraId="62C82E94">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方少明</w:t>
            </w:r>
          </w:p>
          <w:p w14:paraId="53A213E0">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苏当成</w:t>
            </w:r>
          </w:p>
          <w:p w14:paraId="50B96451">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吴诗德</w:t>
            </w:r>
          </w:p>
          <w:p w14:paraId="3C6D09D5">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rPr>
            </w:pPr>
            <w:r>
              <w:rPr>
                <w:rFonts w:hint="eastAsia" w:ascii="仿宋" w:hAnsi="仿宋" w:eastAsia="仿宋" w:cs="仿宋"/>
                <w:snapToGrid w:val="0"/>
                <w:color w:val="000000"/>
                <w:spacing w:val="-4"/>
                <w:kern w:val="0"/>
                <w:sz w:val="24"/>
                <w:szCs w:val="24"/>
                <w:lang w:val="en-US" w:eastAsia="zh-CN"/>
              </w:rPr>
              <w:t>周立明</w:t>
            </w:r>
          </w:p>
          <w:p w14:paraId="0F5B1ADB">
            <w:pPr>
              <w:keepNext/>
              <w:keepLines w:val="0"/>
              <w:pageBreakBefore w:val="0"/>
              <w:widowControl w:val="0"/>
              <w:kinsoku/>
              <w:wordWrap/>
              <w:overflowPunct/>
              <w:topLinePunct w:val="0"/>
              <w:autoSpaceDE/>
              <w:autoSpaceDN/>
              <w:bidi w:val="0"/>
              <w:adjustRightInd/>
              <w:snapToGrid w:val="0"/>
              <w:spacing w:line="640" w:lineRule="atLeast"/>
              <w:jc w:val="left"/>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lang w:val="en-US" w:eastAsia="zh-CN"/>
              </w:rPr>
              <w:t>赵晓兵</w:t>
            </w:r>
          </w:p>
        </w:tc>
        <w:tc>
          <w:tcPr>
            <w:tcW w:w="511" w:type="pct"/>
            <w:shd w:val="clear"/>
            <w:vAlign w:val="center"/>
          </w:tcPr>
          <w:p w14:paraId="1C2981FB">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lang w:val="en-US" w:eastAsia="zh-CN"/>
              </w:rPr>
              <w:t>专利权转让</w:t>
            </w:r>
          </w:p>
        </w:tc>
        <w:tc>
          <w:tcPr>
            <w:tcW w:w="377" w:type="pct"/>
            <w:shd w:val="clear"/>
            <w:vAlign w:val="center"/>
          </w:tcPr>
          <w:p w14:paraId="4EC0A523">
            <w:pPr>
              <w:keepNext/>
              <w:keepLines w:val="0"/>
              <w:pageBreakBefore w:val="0"/>
              <w:widowControl w:val="0"/>
              <w:kinsoku/>
              <w:wordWrap/>
              <w:overflowPunct/>
              <w:topLinePunct w:val="0"/>
              <w:autoSpaceDE/>
              <w:autoSpaceDN/>
              <w:bidi w:val="0"/>
              <w:adjustRightInd/>
              <w:spacing w:line="640" w:lineRule="atLeas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技术转让</w:t>
            </w:r>
          </w:p>
        </w:tc>
        <w:tc>
          <w:tcPr>
            <w:tcW w:w="340" w:type="pct"/>
            <w:shd w:val="clear"/>
            <w:vAlign w:val="center"/>
          </w:tcPr>
          <w:p w14:paraId="6657D112">
            <w:pPr>
              <w:keepNext/>
              <w:keepLines w:val="0"/>
              <w:pageBreakBefore w:val="0"/>
              <w:widowControl w:val="0"/>
              <w:kinsoku/>
              <w:wordWrap/>
              <w:overflowPunct/>
              <w:topLinePunct w:val="0"/>
              <w:autoSpaceDE/>
              <w:autoSpaceDN/>
              <w:bidi w:val="0"/>
              <w:adjustRightInd/>
              <w:spacing w:line="640" w:lineRule="atLeas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3.1</w:t>
            </w:r>
          </w:p>
        </w:tc>
        <w:tc>
          <w:tcPr>
            <w:tcW w:w="620" w:type="pct"/>
            <w:shd w:val="clear"/>
            <w:vAlign w:val="center"/>
          </w:tcPr>
          <w:p w14:paraId="0D9C5C18">
            <w:pPr>
              <w:keepNext/>
              <w:keepLines w:val="0"/>
              <w:pageBreakBefore w:val="0"/>
              <w:widowControl w:val="0"/>
              <w:kinsoku/>
              <w:wordWrap/>
              <w:overflowPunct/>
              <w:topLinePunct w:val="0"/>
              <w:autoSpaceDE/>
              <w:autoSpaceDN/>
              <w:bidi w:val="0"/>
              <w:adjustRightInd/>
              <w:spacing w:line="640" w:lineRule="atLeast"/>
              <w:jc w:val="center"/>
              <w:textAlignment w:val="auto"/>
              <w:rPr>
                <w:rFonts w:hint="eastAsia"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szCs w:val="24"/>
              </w:rPr>
              <w:t>湖南好风科技有限公司</w:t>
            </w:r>
          </w:p>
        </w:tc>
        <w:tc>
          <w:tcPr>
            <w:tcW w:w="283" w:type="pct"/>
            <w:vAlign w:val="center"/>
          </w:tcPr>
          <w:p w14:paraId="46C361EC">
            <w:pPr>
              <w:keepNext/>
              <w:keepLines w:val="0"/>
              <w:pageBreakBefore w:val="0"/>
              <w:widowControl w:val="0"/>
              <w:kinsoku/>
              <w:wordWrap/>
              <w:overflowPunct/>
              <w:topLinePunct w:val="0"/>
              <w:autoSpaceDE/>
              <w:autoSpaceDN/>
              <w:bidi w:val="0"/>
              <w:adjustRightInd/>
              <w:snapToGrid w:val="0"/>
              <w:spacing w:line="640" w:lineRule="atLeast"/>
              <w:jc w:val="center"/>
              <w:textAlignment w:val="auto"/>
              <w:rPr>
                <w:rFonts w:hint="eastAsia" w:ascii="仿宋" w:hAnsi="仿宋" w:eastAsia="仿宋" w:cs="仿宋"/>
                <w:sz w:val="24"/>
                <w:szCs w:val="24"/>
              </w:rPr>
            </w:pPr>
          </w:p>
        </w:tc>
      </w:tr>
    </w:tbl>
    <w:p w14:paraId="29978E3F">
      <w:pPr>
        <w:rPr>
          <w:sz w:val="24"/>
          <w:szCs w:val="24"/>
        </w:rPr>
      </w:pPr>
    </w:p>
    <w:p w14:paraId="635EFB81">
      <w:pPr>
        <w:rPr>
          <w:sz w:val="24"/>
          <w:szCs w:val="24"/>
        </w:rPr>
      </w:pPr>
    </w:p>
    <w:p w14:paraId="4DE36C9D">
      <w:pPr>
        <w:rPr>
          <w:sz w:val="24"/>
          <w:szCs w:val="24"/>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Q1ZmM5M2NiYzViNjc4ZWU1ODNmMjFmYjE5YjlkNzIifQ=="/>
  </w:docVars>
  <w:rsids>
    <w:rsidRoot w:val="1308507D"/>
    <w:rsid w:val="000A0B54"/>
    <w:rsid w:val="00134E59"/>
    <w:rsid w:val="002A42CA"/>
    <w:rsid w:val="003E622D"/>
    <w:rsid w:val="00481A1C"/>
    <w:rsid w:val="004A794E"/>
    <w:rsid w:val="004C6ECE"/>
    <w:rsid w:val="004D6FDB"/>
    <w:rsid w:val="005246DE"/>
    <w:rsid w:val="005616AD"/>
    <w:rsid w:val="00657F45"/>
    <w:rsid w:val="006726DB"/>
    <w:rsid w:val="006B6ACD"/>
    <w:rsid w:val="007220D0"/>
    <w:rsid w:val="008F4601"/>
    <w:rsid w:val="00A57D18"/>
    <w:rsid w:val="00A6045F"/>
    <w:rsid w:val="00AF0101"/>
    <w:rsid w:val="00AF0AB6"/>
    <w:rsid w:val="00AF6BB6"/>
    <w:rsid w:val="00B608E5"/>
    <w:rsid w:val="00C22EF0"/>
    <w:rsid w:val="00C32E68"/>
    <w:rsid w:val="00CE62E5"/>
    <w:rsid w:val="00D23687"/>
    <w:rsid w:val="00D96A81"/>
    <w:rsid w:val="00E120A2"/>
    <w:rsid w:val="00E677E5"/>
    <w:rsid w:val="00F43DEA"/>
    <w:rsid w:val="00FE0988"/>
    <w:rsid w:val="00FF5805"/>
    <w:rsid w:val="0F2B62DD"/>
    <w:rsid w:val="1308507D"/>
    <w:rsid w:val="243539C3"/>
    <w:rsid w:val="415E2C8C"/>
    <w:rsid w:val="4613030E"/>
    <w:rsid w:val="50D852D8"/>
    <w:rsid w:val="58406388"/>
    <w:rsid w:val="6BC15175"/>
    <w:rsid w:val="6C0A15AE"/>
    <w:rsid w:val="6D75377C"/>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0"/>
    <w:rPr>
      <w:rFonts w:ascii="Calibri" w:hAnsi="Calibri"/>
      <w:kern w:val="2"/>
      <w:sz w:val="18"/>
      <w:szCs w:val="18"/>
    </w:rPr>
  </w:style>
  <w:style w:type="character" w:customStyle="1" w:styleId="8">
    <w:name w:val="页脚 字符"/>
    <w:basedOn w:val="6"/>
    <w:link w:val="3"/>
    <w:qFormat/>
    <w:uiPriority w:val="0"/>
    <w:rPr>
      <w:rFonts w:ascii="Calibri" w:hAnsi="Calibri"/>
      <w:kern w:val="2"/>
      <w:sz w:val="18"/>
      <w:szCs w:val="18"/>
    </w:rPr>
  </w:style>
  <w:style w:type="character" w:customStyle="1" w:styleId="9">
    <w:name w:val="批注框文本 字符"/>
    <w:basedOn w:val="6"/>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641</Words>
  <Characters>654</Characters>
  <Lines>3</Lines>
  <Paragraphs>1</Paragraphs>
  <TotalTime>3</TotalTime>
  <ScaleCrop>false</ScaleCrop>
  <LinksUpToDate>false</LinksUpToDate>
  <CharactersWithSpaces>727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2025-12-12T05:01:00Z</dcterms:created>
  <dc:creator>文档存本地丢失不负责</dc:creator>
  <cp:lastModifiedBy>鲍雅如</cp:lastModifiedBy>
  <cp:lastPrinted>2026-01-20T07:07:00Z</cp:lastPrinted>
  <dcterms:modified xsi:type="dcterms:W3CDTF">2026-05-25T08:33:36Z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