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95A1B6">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696EA351">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时间：2025年</w:t>
      </w:r>
      <w:r>
        <w:rPr>
          <w:rFonts w:hint="eastAsia" w:ascii="仿宋" w:hAnsi="仿宋" w:eastAsia="仿宋" w:cs="仿宋"/>
          <w:sz w:val="28"/>
          <w:szCs w:val="28"/>
          <w:lang w:val="en-US" w:eastAsia="zh-CN"/>
        </w:rPr>
        <w:t>12</w:t>
      </w:r>
      <w:r>
        <w:rPr>
          <w:rFonts w:hint="eastAsia" w:ascii="仿宋" w:hAnsi="仿宋" w:eastAsia="仿宋" w:cs="仿宋"/>
          <w:sz w:val="28"/>
          <w:szCs w:val="28"/>
        </w:rPr>
        <w:t>月</w:t>
      </w:r>
      <w:r>
        <w:rPr>
          <w:rFonts w:hint="eastAsia" w:ascii="仿宋" w:hAnsi="仿宋" w:eastAsia="仿宋" w:cs="仿宋"/>
          <w:sz w:val="28"/>
          <w:szCs w:val="28"/>
          <w:lang w:val="en-US" w:eastAsia="zh-CN"/>
        </w:rPr>
        <w:t>16</w:t>
      </w:r>
      <w:r>
        <w:rPr>
          <w:rFonts w:hint="eastAsia" w:ascii="仿宋" w:hAnsi="仿宋" w:eastAsia="仿宋" w:cs="仿宋"/>
          <w:sz w:val="28"/>
          <w:szCs w:val="28"/>
        </w:rPr>
        <w:t>日</w:t>
      </w:r>
    </w:p>
    <w:tbl>
      <w:tblPr>
        <w:tblStyle w:val="3"/>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195"/>
        <w:gridCol w:w="5471"/>
        <w:gridCol w:w="1620"/>
        <w:gridCol w:w="982"/>
        <w:gridCol w:w="750"/>
        <w:gridCol w:w="1204"/>
        <w:gridCol w:w="1285"/>
        <w:gridCol w:w="786"/>
      </w:tblGrid>
      <w:tr w14:paraId="15255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vAlign w:val="center"/>
          </w:tcPr>
          <w:p w14:paraId="5AC04F89">
            <w:pPr>
              <w:snapToGrid w:val="0"/>
              <w:spacing w:line="340" w:lineRule="atLeast"/>
              <w:jc w:val="center"/>
              <w:rPr>
                <w:rFonts w:ascii="黑体" w:hAnsi="黑体" w:eastAsia="黑体" w:cs="黑体"/>
                <w:sz w:val="24"/>
              </w:rPr>
            </w:pPr>
            <w:r>
              <w:rPr>
                <w:rFonts w:hint="eastAsia" w:ascii="黑体" w:hAnsi="黑体" w:eastAsia="黑体" w:cs="黑体"/>
                <w:sz w:val="24"/>
              </w:rPr>
              <w:t>序号</w:t>
            </w:r>
          </w:p>
        </w:tc>
        <w:tc>
          <w:tcPr>
            <w:tcW w:w="1195" w:type="dxa"/>
            <w:shd w:val="clear" w:color="auto" w:fill="auto"/>
            <w:vAlign w:val="center"/>
          </w:tcPr>
          <w:p w14:paraId="0E89747D">
            <w:pPr>
              <w:snapToGrid w:val="0"/>
              <w:spacing w:line="340" w:lineRule="atLeast"/>
              <w:jc w:val="center"/>
              <w:rPr>
                <w:rFonts w:ascii="黑体" w:hAnsi="黑体" w:eastAsia="黑体" w:cs="黑体"/>
                <w:sz w:val="24"/>
              </w:rPr>
            </w:pPr>
            <w:r>
              <w:rPr>
                <w:rFonts w:hint="eastAsia" w:ascii="黑体" w:hAnsi="黑体" w:eastAsia="黑体" w:cs="黑体"/>
                <w:sz w:val="24"/>
              </w:rPr>
              <w:t>成果名称</w:t>
            </w:r>
          </w:p>
        </w:tc>
        <w:tc>
          <w:tcPr>
            <w:tcW w:w="5471" w:type="dxa"/>
            <w:shd w:val="clear" w:color="auto" w:fill="auto"/>
            <w:vAlign w:val="center"/>
          </w:tcPr>
          <w:p w14:paraId="0EC254FA">
            <w:pPr>
              <w:snapToGrid w:val="0"/>
              <w:spacing w:line="340" w:lineRule="atLeast"/>
              <w:jc w:val="center"/>
              <w:rPr>
                <w:rFonts w:ascii="黑体" w:hAnsi="黑体" w:eastAsia="黑体" w:cs="黑体"/>
                <w:sz w:val="24"/>
              </w:rPr>
            </w:pPr>
            <w:r>
              <w:rPr>
                <w:rFonts w:hint="eastAsia" w:ascii="黑体" w:hAnsi="黑体" w:eastAsia="黑体" w:cs="黑体"/>
                <w:sz w:val="24"/>
              </w:rPr>
              <w:t>成果内容摘要</w:t>
            </w:r>
          </w:p>
        </w:tc>
        <w:tc>
          <w:tcPr>
            <w:tcW w:w="1620" w:type="dxa"/>
            <w:shd w:val="clear" w:color="auto" w:fill="auto"/>
            <w:vAlign w:val="center"/>
          </w:tcPr>
          <w:p w14:paraId="43391DBB">
            <w:pPr>
              <w:snapToGrid w:val="0"/>
              <w:spacing w:line="340" w:lineRule="atLeast"/>
              <w:jc w:val="center"/>
              <w:rPr>
                <w:rFonts w:ascii="黑体" w:hAnsi="黑体" w:eastAsia="黑体" w:cs="黑体"/>
                <w:sz w:val="24"/>
              </w:rPr>
            </w:pPr>
            <w:r>
              <w:rPr>
                <w:rFonts w:hint="eastAsia" w:ascii="黑体" w:hAnsi="黑体" w:eastAsia="黑体" w:cs="黑体"/>
                <w:sz w:val="24"/>
              </w:rPr>
              <w:t>成果完成人</w:t>
            </w:r>
          </w:p>
        </w:tc>
        <w:tc>
          <w:tcPr>
            <w:tcW w:w="982" w:type="dxa"/>
            <w:shd w:val="clear" w:color="auto" w:fill="auto"/>
            <w:vAlign w:val="center"/>
          </w:tcPr>
          <w:p w14:paraId="4B404377">
            <w:pPr>
              <w:snapToGrid w:val="0"/>
              <w:spacing w:line="340" w:lineRule="atLeast"/>
              <w:jc w:val="center"/>
              <w:rPr>
                <w:rFonts w:ascii="黑体" w:hAnsi="黑体" w:eastAsia="黑体" w:cs="黑体"/>
                <w:sz w:val="24"/>
              </w:rPr>
            </w:pPr>
            <w:r>
              <w:rPr>
                <w:rFonts w:hint="eastAsia" w:ascii="黑体" w:hAnsi="黑体" w:eastAsia="黑体" w:cs="黑体"/>
                <w:sz w:val="24"/>
              </w:rPr>
              <w:t>赋权类型</w:t>
            </w:r>
          </w:p>
        </w:tc>
        <w:tc>
          <w:tcPr>
            <w:tcW w:w="750" w:type="dxa"/>
            <w:shd w:val="clear" w:color="auto" w:fill="auto"/>
            <w:vAlign w:val="center"/>
          </w:tcPr>
          <w:p w14:paraId="5E9D4442">
            <w:pPr>
              <w:snapToGrid w:val="0"/>
              <w:spacing w:line="340" w:lineRule="atLeast"/>
              <w:jc w:val="center"/>
              <w:rPr>
                <w:rFonts w:ascii="黑体" w:hAnsi="黑体" w:eastAsia="黑体" w:cs="黑体"/>
                <w:sz w:val="24"/>
              </w:rPr>
            </w:pPr>
            <w:r>
              <w:rPr>
                <w:rFonts w:hint="eastAsia" w:ascii="黑体" w:hAnsi="黑体" w:eastAsia="黑体" w:cs="黑体"/>
                <w:sz w:val="24"/>
              </w:rPr>
              <w:t>转化</w:t>
            </w:r>
          </w:p>
          <w:p w14:paraId="5409F6D9">
            <w:pPr>
              <w:snapToGrid w:val="0"/>
              <w:spacing w:line="340" w:lineRule="atLeast"/>
              <w:jc w:val="center"/>
              <w:rPr>
                <w:rFonts w:ascii="黑体" w:hAnsi="黑体" w:eastAsia="黑体" w:cs="黑体"/>
                <w:sz w:val="24"/>
              </w:rPr>
            </w:pPr>
            <w:r>
              <w:rPr>
                <w:rFonts w:hint="eastAsia" w:ascii="黑体" w:hAnsi="黑体" w:eastAsia="黑体" w:cs="黑体"/>
                <w:sz w:val="24"/>
              </w:rPr>
              <w:t>方式</w:t>
            </w:r>
          </w:p>
        </w:tc>
        <w:tc>
          <w:tcPr>
            <w:tcW w:w="1204" w:type="dxa"/>
            <w:shd w:val="clear" w:color="auto" w:fill="auto"/>
            <w:vAlign w:val="center"/>
          </w:tcPr>
          <w:p w14:paraId="1B250642">
            <w:pPr>
              <w:snapToGrid w:val="0"/>
              <w:spacing w:line="340" w:lineRule="atLeast"/>
              <w:jc w:val="center"/>
              <w:rPr>
                <w:rFonts w:ascii="黑体" w:hAnsi="黑体" w:eastAsia="黑体" w:cs="黑体"/>
                <w:sz w:val="24"/>
              </w:rPr>
            </w:pPr>
            <w:r>
              <w:rPr>
                <w:rFonts w:hint="eastAsia" w:ascii="黑体" w:hAnsi="黑体" w:eastAsia="黑体" w:cs="黑体"/>
                <w:sz w:val="24"/>
              </w:rPr>
              <w:t>交易金额（万元）</w:t>
            </w:r>
          </w:p>
        </w:tc>
        <w:tc>
          <w:tcPr>
            <w:tcW w:w="1285" w:type="dxa"/>
            <w:shd w:val="clear" w:color="auto" w:fill="auto"/>
            <w:vAlign w:val="center"/>
          </w:tcPr>
          <w:p w14:paraId="0855ACEA">
            <w:pPr>
              <w:snapToGrid w:val="0"/>
              <w:spacing w:line="340" w:lineRule="atLeast"/>
              <w:jc w:val="center"/>
              <w:rPr>
                <w:rFonts w:ascii="黑体" w:hAnsi="黑体" w:eastAsia="黑体" w:cs="黑体"/>
                <w:sz w:val="24"/>
              </w:rPr>
            </w:pPr>
            <w:r>
              <w:rPr>
                <w:rFonts w:hint="eastAsia" w:ascii="黑体" w:hAnsi="黑体" w:eastAsia="黑体" w:cs="黑体"/>
                <w:sz w:val="24"/>
              </w:rPr>
              <w:t>受让方</w:t>
            </w:r>
          </w:p>
        </w:tc>
        <w:tc>
          <w:tcPr>
            <w:tcW w:w="786" w:type="dxa"/>
            <w:shd w:val="clear" w:color="auto" w:fill="auto"/>
            <w:vAlign w:val="center"/>
          </w:tcPr>
          <w:p w14:paraId="377FB5DC">
            <w:pPr>
              <w:snapToGrid w:val="0"/>
              <w:spacing w:line="340" w:lineRule="atLeast"/>
              <w:jc w:val="center"/>
              <w:rPr>
                <w:rFonts w:ascii="黑体" w:hAnsi="黑体" w:eastAsia="黑体" w:cs="黑体"/>
                <w:sz w:val="24"/>
              </w:rPr>
            </w:pPr>
            <w:r>
              <w:rPr>
                <w:rFonts w:hint="eastAsia" w:ascii="黑体" w:hAnsi="黑体" w:eastAsia="黑体" w:cs="黑体"/>
                <w:sz w:val="24"/>
              </w:rPr>
              <w:t>备注</w:t>
            </w:r>
          </w:p>
        </w:tc>
      </w:tr>
      <w:tr w14:paraId="05B00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2969271B">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1</w:t>
            </w:r>
          </w:p>
        </w:tc>
        <w:tc>
          <w:tcPr>
            <w:tcW w:w="1195" w:type="dxa"/>
            <w:shd w:val="clear" w:color="auto" w:fill="auto"/>
            <w:vAlign w:val="center"/>
          </w:tcPr>
          <w:p w14:paraId="211E416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顶侧一体式包装膜冷切割智能拆膜装备</w:t>
            </w:r>
          </w:p>
        </w:tc>
        <w:tc>
          <w:tcPr>
            <w:tcW w:w="5471" w:type="dxa"/>
            <w:shd w:val="clear" w:color="auto" w:fill="auto"/>
            <w:vAlign w:val="center"/>
          </w:tcPr>
          <w:p w14:paraId="1DFAB78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顶侧一体式包装膜冷切割智能拆膜装备,拆膜装备的切割装置通过竖向直线模组和横向直线模组的组合来实现切刀组件横向移动和竖向移动,并且能够通过回转气缸自由调整切刀的方向,切刀调整至横向时,用于将一体式包装膜的上部横向切开,形成上部的顶膜和下部的套筒式包装膜,切刀调整至竖向时,用于将套筒式包装膜竖向切开,实现一体式包装膜的分割和切开。</w:t>
            </w:r>
          </w:p>
        </w:tc>
        <w:tc>
          <w:tcPr>
            <w:tcW w:w="1620" w:type="dxa"/>
            <w:shd w:val="clear" w:color="auto" w:fill="auto"/>
            <w:vAlign w:val="center"/>
          </w:tcPr>
          <w:p w14:paraId="311471B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王良文; 庞文龙; 解宏昌; 胡军恒; 王若澜; 何天运; 肖志玲; 汪曙光; 李应生; 李林峰</w:t>
            </w:r>
          </w:p>
        </w:tc>
        <w:tc>
          <w:tcPr>
            <w:tcW w:w="982" w:type="dxa"/>
            <w:shd w:val="clear" w:color="auto" w:fill="auto"/>
            <w:vAlign w:val="center"/>
          </w:tcPr>
          <w:p w14:paraId="541B300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23F6661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5458CD9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19156DD0">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郑州润华智能设备有限公司</w:t>
            </w:r>
          </w:p>
        </w:tc>
        <w:tc>
          <w:tcPr>
            <w:tcW w:w="786" w:type="dxa"/>
            <w:shd w:val="clear" w:color="auto" w:fill="auto"/>
            <w:vAlign w:val="center"/>
          </w:tcPr>
          <w:p w14:paraId="62E5897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62F37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6AC86B9">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2</w:t>
            </w:r>
          </w:p>
        </w:tc>
        <w:tc>
          <w:tcPr>
            <w:tcW w:w="1195" w:type="dxa"/>
            <w:shd w:val="clear" w:color="auto" w:fill="auto"/>
            <w:vAlign w:val="center"/>
          </w:tcPr>
          <w:p w14:paraId="484E2C9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顶侧一体式包装薄膜热切割智能拆膜装备</w:t>
            </w:r>
          </w:p>
        </w:tc>
        <w:tc>
          <w:tcPr>
            <w:tcW w:w="5471" w:type="dxa"/>
            <w:shd w:val="clear" w:color="auto" w:fill="auto"/>
            <w:vAlign w:val="center"/>
          </w:tcPr>
          <w:p w14:paraId="44E74D03">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顶侧一体式包装膜热切割智能拆膜装备,拆膜装备的切割装置能够通过回转气缸自由调整电热丝的方向,电热丝调整至水平时,用于将一体式包装膜的上部横向切开,形成上部的顶膜和下部的套筒式包装膜,切刀调整至竖向时,用于将套筒式包装膜竖向切开,实现一体式包装膜的分割和切开。</w:t>
            </w:r>
          </w:p>
        </w:tc>
        <w:tc>
          <w:tcPr>
            <w:tcW w:w="1620" w:type="dxa"/>
            <w:shd w:val="clear" w:color="auto" w:fill="auto"/>
            <w:vAlign w:val="center"/>
          </w:tcPr>
          <w:p w14:paraId="4F0DCB00">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王良文; 钟玉东; 董巳洁; 刘飞飞; 孟凡念; 王一; 鲁海霞; 刘旭玲; 陈志宏; 刘俊龙</w:t>
            </w:r>
          </w:p>
        </w:tc>
        <w:tc>
          <w:tcPr>
            <w:tcW w:w="982" w:type="dxa"/>
            <w:shd w:val="clear" w:color="auto" w:fill="auto"/>
            <w:vAlign w:val="center"/>
          </w:tcPr>
          <w:p w14:paraId="6E36680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1E27C488">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2CAC28A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2C14A37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郑州润华智能设备有限公司</w:t>
            </w:r>
          </w:p>
        </w:tc>
        <w:tc>
          <w:tcPr>
            <w:tcW w:w="786" w:type="dxa"/>
            <w:shd w:val="clear" w:color="auto" w:fill="auto"/>
            <w:vAlign w:val="center"/>
          </w:tcPr>
          <w:p w14:paraId="29C57F8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7572F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0" w:hRule="atLeast"/>
        </w:trPr>
        <w:tc>
          <w:tcPr>
            <w:tcW w:w="544" w:type="dxa"/>
            <w:shd w:val="clear" w:color="auto" w:fill="auto"/>
            <w:vAlign w:val="center"/>
          </w:tcPr>
          <w:p w14:paraId="62E200AA">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3</w:t>
            </w:r>
          </w:p>
        </w:tc>
        <w:tc>
          <w:tcPr>
            <w:tcW w:w="1195" w:type="dxa"/>
            <w:shd w:val="clear" w:color="auto" w:fill="auto"/>
            <w:vAlign w:val="center"/>
          </w:tcPr>
          <w:p w14:paraId="6EE249C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五面缠绕包装薄膜冷切割智能拆膜装备</w:t>
            </w:r>
          </w:p>
        </w:tc>
        <w:tc>
          <w:tcPr>
            <w:tcW w:w="5471" w:type="dxa"/>
            <w:shd w:val="clear" w:color="auto" w:fill="auto"/>
            <w:vAlign w:val="center"/>
          </w:tcPr>
          <w:p w14:paraId="115D122A">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五面缠绕包装薄膜冷切割智能拆膜装备,该装备通过滚筒输送机将待拆膜货物输送到薄膜抓取装置和切割装置之间进行拆膜,通过切割装置的切割组件将货物一侧面的薄膜切开,通过薄膜抓取装置夹住一侧被切开的包装薄膜,薄膜抓取装置的双活塞杆气缸甲和驱动机构同步动作将夹住的薄膜拉扯下来放入到一侧的薄膜粉碎机内,侧面的薄膜被拆下来之后解除对顶部薄膜的固定,通过吸膜装置吸住顶部薄膜的上表面,然后再通过升降机构驱动吸盘组件向上将吸住的端盖式包装膜从货物顶部拉下来,最后回转气缸驱动吸盘组件向外转动将端盖式包装膜放入到薄膜粉碎装置内进行粉碎。</w:t>
            </w:r>
          </w:p>
        </w:tc>
        <w:tc>
          <w:tcPr>
            <w:tcW w:w="1620" w:type="dxa"/>
            <w:shd w:val="clear" w:color="auto" w:fill="auto"/>
            <w:vAlign w:val="center"/>
          </w:tcPr>
          <w:p w14:paraId="40976B4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巩晓赟; 陈治强; 王良文; 李轲; 刘飞飞; 郝洪伟; 孟凡念; 李明涛; 李应生; 张世锋</w:t>
            </w:r>
          </w:p>
        </w:tc>
        <w:tc>
          <w:tcPr>
            <w:tcW w:w="982" w:type="dxa"/>
            <w:shd w:val="clear" w:color="auto" w:fill="auto"/>
            <w:vAlign w:val="center"/>
          </w:tcPr>
          <w:p w14:paraId="0823C74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69498579">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62115C9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1F529E6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郑州润华智能设备有限公司</w:t>
            </w:r>
          </w:p>
        </w:tc>
        <w:tc>
          <w:tcPr>
            <w:tcW w:w="786" w:type="dxa"/>
            <w:shd w:val="clear" w:color="auto" w:fill="auto"/>
            <w:vAlign w:val="center"/>
          </w:tcPr>
          <w:p w14:paraId="3B17FD41">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1300D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4208A191">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4</w:t>
            </w:r>
          </w:p>
        </w:tc>
        <w:tc>
          <w:tcPr>
            <w:tcW w:w="1195" w:type="dxa"/>
            <w:shd w:val="clear" w:color="auto" w:fill="auto"/>
            <w:vAlign w:val="center"/>
          </w:tcPr>
          <w:p w14:paraId="602B0659">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五面缠绕包装薄膜热切割智能拆膜装备</w:t>
            </w:r>
          </w:p>
        </w:tc>
        <w:tc>
          <w:tcPr>
            <w:tcW w:w="5471" w:type="dxa"/>
            <w:shd w:val="clear" w:color="auto" w:fill="auto"/>
            <w:vAlign w:val="center"/>
          </w:tcPr>
          <w:p w14:paraId="6D9F79E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五面缠绕包装薄膜热切割智能拆膜装备,待拆膜货物被滚筒输送机输送到薄膜抓取装置和切割装置之间,智能控制系统检测货物的位置及包装薄膜的状态,并控制切割装置的气缸乙向外将电热丝推向货物的侧面,将货物一侧面的薄膜切开,并释放上部的端盖式包装薄膜；然后通过薄膜抓取装置的驱动机构将夹爪机构调整至面向货物的侧面,夹爪机构两爪体外端闭合后夹住薄膜将薄膜拉扯下来,放入到一侧的薄膜粉碎机内</w:t>
            </w:r>
          </w:p>
        </w:tc>
        <w:tc>
          <w:tcPr>
            <w:tcW w:w="1620" w:type="dxa"/>
            <w:shd w:val="clear" w:color="auto" w:fill="auto"/>
            <w:vAlign w:val="center"/>
          </w:tcPr>
          <w:p w14:paraId="1A141FC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谢贵重; 武玺旺; 王若澜; 王良文; 赵自勇; 曹河周; 杜文辽; 李浩; 时长敏; 张珂</w:t>
            </w:r>
          </w:p>
        </w:tc>
        <w:tc>
          <w:tcPr>
            <w:tcW w:w="982" w:type="dxa"/>
            <w:shd w:val="clear" w:color="auto" w:fill="auto"/>
            <w:vAlign w:val="center"/>
          </w:tcPr>
          <w:p w14:paraId="111504F8">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6E6C5D7B">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4E4B2B2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34C32733">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郑州润华智能设备有限公司</w:t>
            </w:r>
          </w:p>
        </w:tc>
        <w:tc>
          <w:tcPr>
            <w:tcW w:w="786" w:type="dxa"/>
            <w:shd w:val="clear" w:color="auto" w:fill="auto"/>
            <w:vAlign w:val="center"/>
          </w:tcPr>
          <w:p w14:paraId="3DC39390">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7DB25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320B0B8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lang w:val="en-US" w:eastAsia="zh-CN"/>
              </w:rPr>
              <w:t>5</w:t>
            </w:r>
          </w:p>
        </w:tc>
        <w:tc>
          <w:tcPr>
            <w:tcW w:w="1195" w:type="dxa"/>
            <w:shd w:val="clear" w:color="auto" w:fill="auto"/>
            <w:vAlign w:val="center"/>
          </w:tcPr>
          <w:p w14:paraId="70DE2F50">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薄壁易碎件内撑式抓取机械手作业冲击与转运过程实验系统</w:t>
            </w:r>
          </w:p>
        </w:tc>
        <w:tc>
          <w:tcPr>
            <w:tcW w:w="5471" w:type="dxa"/>
            <w:shd w:val="clear" w:color="auto" w:fill="auto"/>
            <w:vAlign w:val="center"/>
          </w:tcPr>
          <w:p w14:paraId="7A657D2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薄壁易碎件内撑式抓取机械手作业冲击与转运过程实验系统,该系统包括实验台、机械手和实验工件,所述的实验台设置在支架上,在实验台上设有控制柜、工件定位角铁、装配模座及高速摄像系统,在实验台的边沿固定有立架,在立架上固定有水平的横向直线运动模组,该横向直线运动模组的横向运动块上固定有竖直的纵向直线运动模组,该纵向直线运动模组的纵向运动块上固定有安装架,该安装架上固定有竖直设置的机械手；本发明系统中机械手上的内撑机构的内撑速度可调可控,研究不同速度冲击下的接触力的传递,运动模组通过机械手将工件向上提升运动的速度、加速度可调可控,研究运动加速度变化下,工件与橡胶减震层表面摩擦力的变化情况。</w:t>
            </w:r>
          </w:p>
        </w:tc>
        <w:tc>
          <w:tcPr>
            <w:tcW w:w="1620" w:type="dxa"/>
            <w:shd w:val="clear" w:color="auto" w:fill="auto"/>
            <w:vAlign w:val="center"/>
          </w:tcPr>
          <w:p w14:paraId="0AA11E6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王良文; 巩晓赟; 王若澜; 刘艳红; 李应生; 陈志宏; 霍本岩; 王才东; 孟凡念; 王壮; 李帅琦; 栗培栋</w:t>
            </w:r>
          </w:p>
        </w:tc>
        <w:tc>
          <w:tcPr>
            <w:tcW w:w="982" w:type="dxa"/>
            <w:shd w:val="clear" w:color="auto" w:fill="auto"/>
            <w:vAlign w:val="center"/>
          </w:tcPr>
          <w:p w14:paraId="4973032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689D292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674B0AE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6448DCD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郑州智汇机械设备有限公司</w:t>
            </w:r>
          </w:p>
        </w:tc>
        <w:tc>
          <w:tcPr>
            <w:tcW w:w="786" w:type="dxa"/>
            <w:shd w:val="clear" w:color="auto" w:fill="auto"/>
            <w:vAlign w:val="center"/>
          </w:tcPr>
          <w:p w14:paraId="7AAF87D5">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67777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7AB2BD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lang w:val="en-US" w:eastAsia="zh-CN"/>
              </w:rPr>
              <w:t>6</w:t>
            </w:r>
          </w:p>
        </w:tc>
        <w:tc>
          <w:tcPr>
            <w:tcW w:w="1195" w:type="dxa"/>
            <w:shd w:val="clear" w:color="auto" w:fill="auto"/>
            <w:vAlign w:val="center"/>
          </w:tcPr>
          <w:p w14:paraId="0A6C57D0">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可用于不同作业半径的易碎薄壁圆柱形内壁工件的内撑式作业自适应柔顺机械手</w:t>
            </w:r>
          </w:p>
        </w:tc>
        <w:tc>
          <w:tcPr>
            <w:tcW w:w="5471" w:type="dxa"/>
            <w:shd w:val="clear" w:color="auto" w:fill="auto"/>
            <w:vAlign w:val="center"/>
          </w:tcPr>
          <w:p w14:paraId="5D930AA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可用于不同作业半径的易碎薄壁圆柱形内壁工件的内撑式作业自适应柔顺机械手,该机械手包括外部的圆柱形套筒、安装在套筒内的抓取装置以及安装在套筒上端的自适应连接装置；所述的抓取装置包括盘形主体、设置在盘形主体的下表面并沿圆周均布的至少三个相同的内撑机构；所述的内撑机构包括有,固定在盘形主体的下表面垂直向外伸出的支撑腿,沿盘形主体的径向贯穿该支撑腿下端滑动孔的滑动块,固定在滑动块外端的圆弧条状的内撑体,在内撑体的外侧设有圆弧条形的弹性调节板,在弹性调节板与内撑体之间还连接有若干个用于改变弹性调节板曲率半径的伸缩调节机构,本发明能够用于抓取不同半径的工件,使用成本低,工作效率高。</w:t>
            </w:r>
          </w:p>
        </w:tc>
        <w:tc>
          <w:tcPr>
            <w:tcW w:w="1620" w:type="dxa"/>
            <w:shd w:val="clear" w:color="auto" w:fill="auto"/>
            <w:vAlign w:val="center"/>
          </w:tcPr>
          <w:p w14:paraId="5E646D2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王良文; 谢贵重; 张志刚; 王若澜; 刘艳红; 陈志宏; 陈治强; 王才东; 邬昌军; 张士钊; 贺浩; 孔阳光</w:t>
            </w:r>
          </w:p>
        </w:tc>
        <w:tc>
          <w:tcPr>
            <w:tcW w:w="982" w:type="dxa"/>
            <w:shd w:val="clear" w:color="auto" w:fill="auto"/>
            <w:vAlign w:val="center"/>
          </w:tcPr>
          <w:p w14:paraId="0E2A246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355A1003">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5515B43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749A948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郑州智汇机械设备有限公司</w:t>
            </w:r>
          </w:p>
        </w:tc>
        <w:tc>
          <w:tcPr>
            <w:tcW w:w="786" w:type="dxa"/>
            <w:shd w:val="clear" w:color="auto" w:fill="auto"/>
            <w:vAlign w:val="center"/>
          </w:tcPr>
          <w:p w14:paraId="1146703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56B04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788EB7CA">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lang w:val="en-US" w:eastAsia="zh-CN"/>
              </w:rPr>
              <w:t>7</w:t>
            </w:r>
          </w:p>
        </w:tc>
        <w:tc>
          <w:tcPr>
            <w:tcW w:w="1195" w:type="dxa"/>
            <w:shd w:val="clear" w:color="auto" w:fill="auto"/>
            <w:vAlign w:val="center"/>
          </w:tcPr>
          <w:p w14:paraId="4597EBE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可用于异型内轮廓易碎薄壁工件的内撑式作业自适应柔顺机械手</w:t>
            </w:r>
          </w:p>
        </w:tc>
        <w:tc>
          <w:tcPr>
            <w:tcW w:w="5471" w:type="dxa"/>
            <w:shd w:val="clear" w:color="auto" w:fill="auto"/>
            <w:vAlign w:val="center"/>
          </w:tcPr>
          <w:p w14:paraId="4CB54E7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可用于异型内轮廓易碎薄壁工件的内撑式作业自适应柔顺机械手,该机械手包括圆柱形套筒、安装在套筒上的抓取装置以及自适应连接装置；抓取装置包括盘形主体、设置在盘形主体的下表面的内撑机构；内撑机构包括固定在盘形主体的下表面的支撑腿,沿支撑腿下端滑动孔的滑动块,固定在滑动块外端的圆弧条状的内撑体,在内撑体的外侧设有圆弧条形的弹性调节板,在弹性调节板与内撑体之间连接有伸缩调节机构,本发明设有至少四个内撑机构能够对异性内轮廓工件形成稳定的支撑,增加并分散夹取工件的着力点,保证工作过程的稳定性和可靠性,且使工件在夹取的过程中受力更加均衡,降低单点受力强度,保护易碎工件,使用成本低,工作效率高。</w:t>
            </w:r>
          </w:p>
        </w:tc>
        <w:tc>
          <w:tcPr>
            <w:tcW w:w="1620" w:type="dxa"/>
            <w:shd w:val="clear" w:color="auto" w:fill="auto"/>
            <w:vAlign w:val="center"/>
          </w:tcPr>
          <w:p w14:paraId="00474D0A">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王良文; 刘晓丽; 刘旭玲; 李立伟; 王若澜; 霍本岩; 杜文辽; 李安生; 赵峰; 张继豪; 石亚磊; 李帅琦</w:t>
            </w:r>
          </w:p>
        </w:tc>
        <w:tc>
          <w:tcPr>
            <w:tcW w:w="982" w:type="dxa"/>
            <w:shd w:val="clear" w:color="auto" w:fill="auto"/>
            <w:vAlign w:val="center"/>
          </w:tcPr>
          <w:p w14:paraId="58A798C9">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0A49FBE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67DE64A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6E605B69">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郑州智汇机械设备有限公司</w:t>
            </w:r>
          </w:p>
        </w:tc>
        <w:tc>
          <w:tcPr>
            <w:tcW w:w="786" w:type="dxa"/>
            <w:shd w:val="clear" w:color="auto" w:fill="auto"/>
            <w:vAlign w:val="center"/>
          </w:tcPr>
          <w:p w14:paraId="5EB9F7C8">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5C9BA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76B1A2A8">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lang w:val="en-US" w:eastAsia="zh-CN"/>
              </w:rPr>
              <w:t>8</w:t>
            </w:r>
          </w:p>
        </w:tc>
        <w:tc>
          <w:tcPr>
            <w:tcW w:w="1195" w:type="dxa"/>
            <w:shd w:val="clear" w:color="auto" w:fill="auto"/>
            <w:vAlign w:val="center"/>
          </w:tcPr>
          <w:p w14:paraId="4005D6A3">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机器人抓手快速抓取时摩擦力情况分析试验装置</w:t>
            </w:r>
          </w:p>
        </w:tc>
        <w:tc>
          <w:tcPr>
            <w:tcW w:w="5471" w:type="dxa"/>
            <w:shd w:val="clear" w:color="auto" w:fill="auto"/>
            <w:vAlign w:val="center"/>
          </w:tcPr>
          <w:p w14:paraId="51E19EF5">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机器人抓手快速抓取时摩擦力情况分析试验装置,该装置的摩擦力测量组件上设有模仿机械手的夹具,夹具的弧形夹板内侧面的软质垫片可设置不同的材料及纹理来改变摩擦力的大小,测量装置上还设有测量物块所受横向夹紧力(法向力)的弹簧测力计,通过试验台上竖向设置的直线模组驱动摩擦力测量组件快速升降产生加速度；因此,该试验装置能够完成物块在不同加速度、不同夹具表面材料及纹理等条件下的物块临界状态摩擦力测量试验,记录物块的质量、加速度以及物块所受的法向力,可计算出机械手表面的摩擦系数,通过对不同材料及纹理的夹具的摩擦系数进行对比总结,选出机械手表面最合适的材料及纹理；该试验装置结构简单、便于操作。</w:t>
            </w:r>
          </w:p>
        </w:tc>
        <w:tc>
          <w:tcPr>
            <w:tcW w:w="1620" w:type="dxa"/>
            <w:shd w:val="clear" w:color="auto" w:fill="auto"/>
            <w:vAlign w:val="center"/>
          </w:tcPr>
          <w:p w14:paraId="1C06C46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王良文; 谢贵重; 王若澜; 孔阳光; 杜文辽; 李应生; 石亚磊; 郑华栋; 张珂; 王振烨; 王仕林</w:t>
            </w:r>
          </w:p>
        </w:tc>
        <w:tc>
          <w:tcPr>
            <w:tcW w:w="982" w:type="dxa"/>
            <w:shd w:val="clear" w:color="auto" w:fill="auto"/>
            <w:vAlign w:val="center"/>
          </w:tcPr>
          <w:p w14:paraId="0937085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7A99F089">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4650668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752A928B">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郑州智汇机械设备有限公司</w:t>
            </w:r>
          </w:p>
        </w:tc>
        <w:tc>
          <w:tcPr>
            <w:tcW w:w="786" w:type="dxa"/>
            <w:shd w:val="clear" w:color="auto" w:fill="auto"/>
            <w:vAlign w:val="center"/>
          </w:tcPr>
          <w:p w14:paraId="1A60799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477A7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2AC0A4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lang w:val="en-US" w:eastAsia="zh-CN"/>
              </w:rPr>
              <w:t>9</w:t>
            </w:r>
          </w:p>
        </w:tc>
        <w:tc>
          <w:tcPr>
            <w:tcW w:w="1195" w:type="dxa"/>
            <w:shd w:val="clear" w:color="auto" w:fill="auto"/>
            <w:vAlign w:val="center"/>
          </w:tcPr>
          <w:p w14:paraId="1B7FB70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托盘缠绕包装的薄膜缠绕包装特性检测设备</w:t>
            </w:r>
          </w:p>
        </w:tc>
        <w:tc>
          <w:tcPr>
            <w:tcW w:w="5471" w:type="dxa"/>
            <w:shd w:val="clear" w:color="auto" w:fill="auto"/>
            <w:vAlign w:val="center"/>
          </w:tcPr>
          <w:p w14:paraId="6590F19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托盘缠绕包装的薄膜缠绕包装特性检测设备,该设备在旋转底盘上均布有若干个竖向板以形成仿真货物,竖向板下部设置的径向调节机构能够调整竖向板在旋转底盘上的径向位置,来调整仿真货物的尺寸和形状,以模拟出不同尺寸和形状的货物；竖向板后方压力传感器的测量柱头向外凸出该竖向板的外侧面,用于检测薄膜缠绕在竖向板上产生的束紧力；竖向板中间设置的针刺组件的针头用于刺入薄膜,并通过丝杠螺母副驱动针刺组件上下移动,来刮刺薄膜,检测薄膜的韧性和抗刺破性。</w:t>
            </w:r>
          </w:p>
        </w:tc>
        <w:tc>
          <w:tcPr>
            <w:tcW w:w="1620" w:type="dxa"/>
            <w:shd w:val="clear" w:color="auto" w:fill="auto"/>
            <w:vAlign w:val="center"/>
          </w:tcPr>
          <w:p w14:paraId="5F8E555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王良文; 刘飞飞; 王若澜; 孟洁; 刘辉; 杜文辽; 李应生; 谢贵重; 鲁海霞; 张珂</w:t>
            </w:r>
          </w:p>
        </w:tc>
        <w:tc>
          <w:tcPr>
            <w:tcW w:w="982" w:type="dxa"/>
            <w:shd w:val="clear" w:color="auto" w:fill="auto"/>
            <w:vAlign w:val="center"/>
          </w:tcPr>
          <w:p w14:paraId="2A97EE5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2E6495A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151E208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1A303FC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山东玖牧智能科技有限公司</w:t>
            </w:r>
          </w:p>
        </w:tc>
        <w:tc>
          <w:tcPr>
            <w:tcW w:w="786" w:type="dxa"/>
            <w:shd w:val="clear" w:color="auto" w:fill="auto"/>
            <w:vAlign w:val="center"/>
          </w:tcPr>
          <w:p w14:paraId="2EDDE02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6814C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7AEAE28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10</w:t>
            </w:r>
          </w:p>
        </w:tc>
        <w:tc>
          <w:tcPr>
            <w:tcW w:w="1195" w:type="dxa"/>
            <w:shd w:val="clear" w:color="auto" w:fill="auto"/>
            <w:vAlign w:val="center"/>
          </w:tcPr>
          <w:p w14:paraId="7B5C999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薄壁易碎件作业机械手自适应柔顺特征测试分析平台</w:t>
            </w:r>
          </w:p>
        </w:tc>
        <w:tc>
          <w:tcPr>
            <w:tcW w:w="5471" w:type="dxa"/>
            <w:shd w:val="clear" w:color="auto" w:fill="auto"/>
            <w:vAlign w:val="center"/>
          </w:tcPr>
          <w:p w14:paraId="4720844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薄壁易碎件作业机械手自适应柔顺特征测试分析平台,由上而下依次为柔顺机械手系统、测量柱、安装座、高精度手动滑台；柔顺机械手系统用于夹持薄壁易碎件,它上面设有带应变片的柔顺环；测量柱上端外壁与薄壁易碎件内壁匹配并刻有轴向基准线；测量柱下端为球面外壁与安装座上端的球面内壁形成球面副；安装座下端与高精度手动滑台相连；高精度手动滑台能够水平两个方向精密移动；测量柱的正侧两面各被一个高精度经纬仪对准；高精度手动滑台水平能够使测量柱水平偏移并量化偏移量；测量柱与安装座配合能够使测量柱竖向偏转；高精度经纬仪能够对测量柱的竖向偏转进行量化；应变片能够输出柔顺环的力学性能变化情况；从而本发明可以进行测试分析。</w:t>
            </w:r>
          </w:p>
        </w:tc>
        <w:tc>
          <w:tcPr>
            <w:tcW w:w="1620" w:type="dxa"/>
            <w:shd w:val="clear" w:color="auto" w:fill="auto"/>
            <w:vAlign w:val="center"/>
          </w:tcPr>
          <w:p w14:paraId="0B6161D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王良文; 王若澜; 钟玉东; 胡晓; 张珂; 杜文辽; 孔阳光; 解宏昌; 李林峰</w:t>
            </w:r>
          </w:p>
        </w:tc>
        <w:tc>
          <w:tcPr>
            <w:tcW w:w="982" w:type="dxa"/>
            <w:shd w:val="clear" w:color="auto" w:fill="auto"/>
            <w:vAlign w:val="center"/>
          </w:tcPr>
          <w:p w14:paraId="102EC2C8">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0B491C7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7AED3C9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6C88FF1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山东玖牧智能科技有限公司</w:t>
            </w:r>
          </w:p>
        </w:tc>
        <w:tc>
          <w:tcPr>
            <w:tcW w:w="786" w:type="dxa"/>
            <w:shd w:val="clear" w:color="auto" w:fill="auto"/>
            <w:vAlign w:val="center"/>
          </w:tcPr>
          <w:p w14:paraId="35CF347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05B38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2B703430">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11</w:t>
            </w:r>
          </w:p>
        </w:tc>
        <w:tc>
          <w:tcPr>
            <w:tcW w:w="1195" w:type="dxa"/>
            <w:shd w:val="clear" w:color="auto" w:fill="auto"/>
            <w:vAlign w:val="center"/>
          </w:tcPr>
          <w:p w14:paraId="093CB62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一种智能制造中心用多功能装配设备</w:t>
            </w:r>
          </w:p>
        </w:tc>
        <w:tc>
          <w:tcPr>
            <w:tcW w:w="5471" w:type="dxa"/>
            <w:shd w:val="clear" w:color="auto" w:fill="auto"/>
            <w:vAlign w:val="center"/>
          </w:tcPr>
          <w:p w14:paraId="4B986E45">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智能制造中心用多功能装配设备及装配方法,包括工作台,所述工作台的顶部分别固定连接有涂油机、装配机、喷洗机和风干机,所述涂油机的一侧固定连接有防护壳,所述工作台的内部转动连接有装配底座,所述装配底座的内部设置有夹持装置,所述工作台的顶部设置有进料装置,所述工作台的内部固定连接有传送带,所述装配底座的内部开设有下水槽。本发明通过进料装置对零件上料与运输,涂油机和装配机对零件进行涂油、装配,喷洗机和风干机对装配底座进行自动清洗与风干,达到自动对装配底座上漏出的润滑油进行清理的效果,在转动期间通过夹持装置达到自动对不同尺寸的零件进行夹持固定的目的。</w:t>
            </w:r>
          </w:p>
        </w:tc>
        <w:tc>
          <w:tcPr>
            <w:tcW w:w="1620" w:type="dxa"/>
            <w:shd w:val="clear" w:color="auto" w:fill="auto"/>
            <w:vAlign w:val="center"/>
          </w:tcPr>
          <w:p w14:paraId="077D56E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谢贵重; 魏敏敏; 程俊芳; 邬昌军; 钟玉东; 王良文; 杜文辽; 张德海; 崔晓康; 孟凡念; 巩晓赟; 汪曙光; 刘林; 贾杭奇; 赵重卯</w:t>
            </w:r>
          </w:p>
        </w:tc>
        <w:tc>
          <w:tcPr>
            <w:tcW w:w="982" w:type="dxa"/>
            <w:shd w:val="clear" w:color="auto" w:fill="auto"/>
            <w:vAlign w:val="center"/>
          </w:tcPr>
          <w:p w14:paraId="7F01F43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37E6131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0D0B9A7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1036661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山东玖牧智能科技有限公司</w:t>
            </w:r>
          </w:p>
        </w:tc>
        <w:tc>
          <w:tcPr>
            <w:tcW w:w="786" w:type="dxa"/>
            <w:shd w:val="clear" w:color="auto" w:fill="auto"/>
            <w:vAlign w:val="center"/>
          </w:tcPr>
          <w:p w14:paraId="642D0F1A">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3C9C0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3D791953">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12</w:t>
            </w:r>
          </w:p>
        </w:tc>
        <w:tc>
          <w:tcPr>
            <w:tcW w:w="1195" w:type="dxa"/>
            <w:shd w:val="clear" w:color="auto" w:fill="auto"/>
            <w:vAlign w:val="center"/>
          </w:tcPr>
          <w:p w14:paraId="4C721D2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自动钢筋切断机系统</w:t>
            </w:r>
          </w:p>
        </w:tc>
        <w:tc>
          <w:tcPr>
            <w:tcW w:w="5471" w:type="dxa"/>
            <w:shd w:val="clear" w:color="auto" w:fill="auto"/>
            <w:vAlign w:val="center"/>
          </w:tcPr>
          <w:p w14:paraId="5D3D754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自动钢筋切断机系统,包括切断主机、夹紧推送机构、支撑定位机构、离合控制机构和控制系统,夹紧推送机构实现单根钢筋的推送和夹紧,实现单根钢筋的自动送料和切断,安全高效且操作简单；支撑定位机构通过支撑块和定位挡板对切断钢筋的自由端进行定位支撑,保证钢筋在切断过程中保持稳定不发生较大的偏移,使钢筋的切断口更加平整,方便施工,且确保钢筋定长切断后的尺寸,满足施工需求降低废料率,保证施工质量,还能够根据实际需要灵活调节定尺长度,准确方便,离合控制机构中的电磁铁驱动拨杆从而控制切断主机内离合器的离、合,控制准确方便,整个系统由控制系统控制运动,且无需人工来回操作,提高工作效率降低劳动强度。</w:t>
            </w:r>
          </w:p>
        </w:tc>
        <w:tc>
          <w:tcPr>
            <w:tcW w:w="1620" w:type="dxa"/>
            <w:shd w:val="clear" w:color="auto" w:fill="auto"/>
            <w:vAlign w:val="center"/>
          </w:tcPr>
          <w:p w14:paraId="3248C75B">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谢贵重; 王良文; 王若澜; 孟凡念; 邬昌军; 赵峰; 张士钊; 张继豪; 张珂</w:t>
            </w:r>
          </w:p>
        </w:tc>
        <w:tc>
          <w:tcPr>
            <w:tcW w:w="982" w:type="dxa"/>
            <w:shd w:val="clear" w:color="auto" w:fill="auto"/>
            <w:vAlign w:val="center"/>
          </w:tcPr>
          <w:p w14:paraId="32D2A631">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3CE117F5">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48EC88C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5E5C93C1">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山东玖牧智能科技有限公司</w:t>
            </w:r>
          </w:p>
        </w:tc>
        <w:tc>
          <w:tcPr>
            <w:tcW w:w="786" w:type="dxa"/>
            <w:shd w:val="clear" w:color="auto" w:fill="auto"/>
            <w:vAlign w:val="center"/>
          </w:tcPr>
          <w:p w14:paraId="1CE6009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03C43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60895C1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13</w:t>
            </w:r>
          </w:p>
        </w:tc>
        <w:tc>
          <w:tcPr>
            <w:tcW w:w="1195" w:type="dxa"/>
            <w:shd w:val="clear" w:color="auto" w:fill="auto"/>
            <w:vAlign w:val="center"/>
          </w:tcPr>
          <w:p w14:paraId="6950CFE1">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一种热损伤边界元测定方法、系统、介质、设备、终端</w:t>
            </w:r>
          </w:p>
        </w:tc>
        <w:tc>
          <w:tcPr>
            <w:tcW w:w="5471" w:type="dxa"/>
            <w:shd w:val="clear" w:color="auto" w:fill="auto"/>
            <w:vAlign w:val="center"/>
          </w:tcPr>
          <w:p w14:paraId="1E81DDE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用于特种钢制造过程中由于热处理工艺导致的结构疲劳断裂破坏过程分析。本发明能准确地获得特种钢结构内部裂纹附近精确的位移、应力场以及相应的断裂力学性能参数、揭示特种钢成型过程中的缺陷产生机理。</w:t>
            </w:r>
          </w:p>
        </w:tc>
        <w:tc>
          <w:tcPr>
            <w:tcW w:w="1620" w:type="dxa"/>
            <w:shd w:val="clear" w:color="auto" w:fill="auto"/>
            <w:vAlign w:val="center"/>
          </w:tcPr>
          <w:p w14:paraId="17FA60C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谢贵重; 耿宏瑞; 钟玉东; 邬昌军; 杜文辽; 李浩; 李客; 王良文; 刘林; 董云桥; 王滔; 张世欣</w:t>
            </w:r>
          </w:p>
        </w:tc>
        <w:tc>
          <w:tcPr>
            <w:tcW w:w="982" w:type="dxa"/>
            <w:shd w:val="clear" w:color="auto" w:fill="auto"/>
            <w:vAlign w:val="center"/>
          </w:tcPr>
          <w:p w14:paraId="605F83E5">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0225BBD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6264DB08">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1FAE1D7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河南德宁液压机械有限公司</w:t>
            </w:r>
          </w:p>
        </w:tc>
        <w:tc>
          <w:tcPr>
            <w:tcW w:w="786" w:type="dxa"/>
            <w:shd w:val="clear" w:color="auto" w:fill="auto"/>
            <w:vAlign w:val="center"/>
          </w:tcPr>
          <w:p w14:paraId="431EDCC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11366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4DFF99D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14</w:t>
            </w:r>
          </w:p>
        </w:tc>
        <w:tc>
          <w:tcPr>
            <w:tcW w:w="1195" w:type="dxa"/>
            <w:shd w:val="clear" w:color="auto" w:fill="auto"/>
            <w:vAlign w:val="center"/>
          </w:tcPr>
          <w:p w14:paraId="7473EE3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六面顶压机铰链梁结构的疲劳寿命预测及可靠性分析方法</w:t>
            </w:r>
          </w:p>
        </w:tc>
        <w:tc>
          <w:tcPr>
            <w:tcW w:w="5471" w:type="dxa"/>
            <w:shd w:val="clear" w:color="auto" w:fill="auto"/>
            <w:vAlign w:val="center"/>
          </w:tcPr>
          <w:p w14:paraId="1D6C0AD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涉及一种六面顶压机铰链梁结构的疲劳寿命预测及可靠性分析方法,充分考虑了链梁的尺寸,材料属性,载荷等生产制造中不确定因素,便于对铰链梁可靠性评估,有效的缩短了铰链梁结构的疲劳寿命预测及可靠性分析的周期与经济成本。</w:t>
            </w:r>
          </w:p>
        </w:tc>
        <w:tc>
          <w:tcPr>
            <w:tcW w:w="1620" w:type="dxa"/>
            <w:shd w:val="clear" w:color="auto" w:fill="auto"/>
            <w:vAlign w:val="center"/>
          </w:tcPr>
          <w:p w14:paraId="715BCAC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谢贵重; 王滔; 王良文; 李浩; 杜文辽; 何文斌; 邬昌军; 巩晓赟; 张德海; 高艺源; 孟凡念; 庞文龙; 李明涛; 何天运; 李轲</w:t>
            </w:r>
          </w:p>
        </w:tc>
        <w:tc>
          <w:tcPr>
            <w:tcW w:w="982" w:type="dxa"/>
            <w:shd w:val="clear" w:color="auto" w:fill="auto"/>
            <w:vAlign w:val="center"/>
          </w:tcPr>
          <w:p w14:paraId="1E22B0C1">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550D596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7A487C7B">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781AF9C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河南德宁液压机械有限公司</w:t>
            </w:r>
          </w:p>
        </w:tc>
        <w:tc>
          <w:tcPr>
            <w:tcW w:w="786" w:type="dxa"/>
            <w:shd w:val="clear" w:color="auto" w:fill="auto"/>
            <w:vAlign w:val="center"/>
          </w:tcPr>
          <w:p w14:paraId="0BE37979">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25592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72033CB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15</w:t>
            </w:r>
          </w:p>
        </w:tc>
        <w:tc>
          <w:tcPr>
            <w:tcW w:w="1195" w:type="dxa"/>
            <w:shd w:val="clear" w:color="auto" w:fill="auto"/>
            <w:vAlign w:val="center"/>
          </w:tcPr>
          <w:p w14:paraId="487FD80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一种大型铸锻件微缺陷工作应力评估方法</w:t>
            </w:r>
          </w:p>
        </w:tc>
        <w:tc>
          <w:tcPr>
            <w:tcW w:w="5471" w:type="dxa"/>
            <w:shd w:val="clear" w:color="auto" w:fill="auto"/>
            <w:vAlign w:val="center"/>
          </w:tcPr>
          <w:p w14:paraId="184C51E3">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本发明提出了一种大型铸锻件微缺陷工作应力评估方法，只需要通过输入含缺陷大型铸锻件结构的计算网格模型、相应的材料参数等,就可以得到相应的应力及应力强度因子,并进行显示分析。</w:t>
            </w:r>
          </w:p>
        </w:tc>
        <w:tc>
          <w:tcPr>
            <w:tcW w:w="1620" w:type="dxa"/>
            <w:shd w:val="clear" w:color="auto" w:fill="auto"/>
            <w:vAlign w:val="center"/>
          </w:tcPr>
          <w:p w14:paraId="2CA6274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谢贵重; 李浩; 钟玉东; 李客; 孙春亚; 王昊琪; 杜文辽; 王良文; 邬昌军; 文笑雨; 刘林; 张世欣; 王滔</w:t>
            </w:r>
          </w:p>
        </w:tc>
        <w:tc>
          <w:tcPr>
            <w:tcW w:w="982" w:type="dxa"/>
            <w:shd w:val="clear" w:color="auto" w:fill="auto"/>
            <w:vAlign w:val="center"/>
          </w:tcPr>
          <w:p w14:paraId="72EC357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21FF1228">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650CF359">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18A9CFB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河南德宁液压机械有限公司</w:t>
            </w:r>
          </w:p>
        </w:tc>
        <w:tc>
          <w:tcPr>
            <w:tcW w:w="786" w:type="dxa"/>
            <w:shd w:val="clear" w:color="auto" w:fill="auto"/>
            <w:vAlign w:val="center"/>
          </w:tcPr>
          <w:p w14:paraId="48F4471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55E66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5C5EC7A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16</w:t>
            </w:r>
          </w:p>
        </w:tc>
        <w:tc>
          <w:tcPr>
            <w:tcW w:w="1195" w:type="dxa"/>
            <w:shd w:val="clear" w:color="auto" w:fill="auto"/>
            <w:vAlign w:val="center"/>
          </w:tcPr>
          <w:p w14:paraId="78C6B4B3">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铰链梁锻造模具飞边槽参数及锻造工艺参数的优化方法</w:t>
            </w:r>
          </w:p>
        </w:tc>
        <w:tc>
          <w:tcPr>
            <w:tcW w:w="5471" w:type="dxa"/>
            <w:shd w:val="clear" w:color="auto" w:fill="auto"/>
            <w:vAlign w:val="center"/>
          </w:tcPr>
          <w:p w14:paraId="03821469">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铰链梁锻造模具飞边槽参数及锻造工艺参数的优化方法，经过对模具飞边槽以及锻造工艺部分的递进式的综合优化方法,可获得一组延长模具寿命、降低成型载荷、增强锻件流动性的综合优化方案。</w:t>
            </w:r>
          </w:p>
        </w:tc>
        <w:tc>
          <w:tcPr>
            <w:tcW w:w="1620" w:type="dxa"/>
            <w:shd w:val="clear" w:color="auto" w:fill="auto"/>
            <w:vAlign w:val="center"/>
          </w:tcPr>
          <w:p w14:paraId="32A809A1">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王良文; 刘飞飞; 武玺旺; 王若澜; 谢贵重; 李轲; 李明涛; 何文斌; 鲁海霞; 刘旭玲; 曹河周; 汪曙光</w:t>
            </w:r>
          </w:p>
        </w:tc>
        <w:tc>
          <w:tcPr>
            <w:tcW w:w="982" w:type="dxa"/>
            <w:shd w:val="clear" w:color="auto" w:fill="auto"/>
            <w:vAlign w:val="center"/>
          </w:tcPr>
          <w:p w14:paraId="7C2CAC3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26F50C7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1A54986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6C00E10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河南德宁液压机械有限公司</w:t>
            </w:r>
          </w:p>
        </w:tc>
        <w:tc>
          <w:tcPr>
            <w:tcW w:w="786" w:type="dxa"/>
            <w:shd w:val="clear" w:color="auto" w:fill="auto"/>
            <w:vAlign w:val="center"/>
          </w:tcPr>
          <w:p w14:paraId="1DC78E0A">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4F008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4C8421BA">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rPr>
              <w:t>1</w:t>
            </w:r>
            <w:r>
              <w:rPr>
                <w:rFonts w:hint="eastAsia" w:ascii="仿宋" w:hAnsi="仿宋" w:eastAsia="仿宋" w:cs="仿宋"/>
                <w:kern w:val="0"/>
                <w:sz w:val="21"/>
                <w:szCs w:val="21"/>
                <w:lang w:val="en-US" w:eastAsia="zh-CN"/>
              </w:rPr>
              <w:t>7</w:t>
            </w:r>
          </w:p>
        </w:tc>
        <w:tc>
          <w:tcPr>
            <w:tcW w:w="1195" w:type="dxa"/>
            <w:shd w:val="clear" w:color="auto" w:fill="auto"/>
            <w:vAlign w:val="center"/>
          </w:tcPr>
          <w:p w14:paraId="482BDFCB">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强背景噪声下的高压辊磨机滚动轴承EEMD-FKU-PMCKD微弱故障诊断方法</w:t>
            </w:r>
          </w:p>
        </w:tc>
        <w:tc>
          <w:tcPr>
            <w:tcW w:w="5471" w:type="dxa"/>
            <w:shd w:val="clear" w:color="auto" w:fill="auto"/>
            <w:vAlign w:val="center"/>
          </w:tcPr>
          <w:p w14:paraId="6A9A695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提出了一种强背景噪声下的高压辊磨机滚动轴承EEMD-FKU-PMCKD微弱故障诊断方法,对含强背景噪声的振动信号,用集合经验模态分解进行信号分解,获得IMF分量,以互相关系数、峭度作为指标,筛选出最优分量,重构原始信号。其次,基于快速谱峭度算法对重组信号进行一重滤波,对滤波信号做包络谱分析确定最大相关解卷积中参数的优化范围,根据粒子群算法对MCKD模型进行自适应参数优化,获得PMCKD中滤波器长度L、解卷积周期T-s和移位数M的最佳组合参数,将最佳优化参数结果回代到PMCKD模型对一重滤波信号进行自适应二次滤波增强。最后,包络谱提取的轴承故障特征频率与理论值进行对比,确定故障类型,实现故障诊断。</w:t>
            </w:r>
          </w:p>
        </w:tc>
        <w:tc>
          <w:tcPr>
            <w:tcW w:w="1620" w:type="dxa"/>
            <w:shd w:val="clear" w:color="auto" w:fill="auto"/>
            <w:vAlign w:val="center"/>
          </w:tcPr>
          <w:p w14:paraId="63BCD39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谢贵重; 徐帅强; 张丽科; 李浩; 杜文辽; 刘俊; 王跃辉; 郭迈迈; 钟玉东; 王良文; 孟凡念; 王昊琪; 张玉彦</w:t>
            </w:r>
          </w:p>
        </w:tc>
        <w:tc>
          <w:tcPr>
            <w:tcW w:w="982" w:type="dxa"/>
            <w:shd w:val="clear" w:color="auto" w:fill="auto"/>
            <w:vAlign w:val="center"/>
          </w:tcPr>
          <w:p w14:paraId="4C27E67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0C77E17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760E7B0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1998AC5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河南达江环保科技有限公司</w:t>
            </w:r>
          </w:p>
          <w:p w14:paraId="47EA5689">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c>
          <w:tcPr>
            <w:tcW w:w="786" w:type="dxa"/>
            <w:shd w:val="clear" w:color="auto" w:fill="auto"/>
            <w:vAlign w:val="center"/>
          </w:tcPr>
          <w:p w14:paraId="1757581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773B8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E24262B">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18</w:t>
            </w:r>
          </w:p>
        </w:tc>
        <w:tc>
          <w:tcPr>
            <w:tcW w:w="1195" w:type="dxa"/>
            <w:shd w:val="clear" w:color="auto" w:fill="auto"/>
            <w:vAlign w:val="center"/>
          </w:tcPr>
          <w:p w14:paraId="01336063">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一种瞬态声辐射噪声的预测方法</w:t>
            </w:r>
          </w:p>
        </w:tc>
        <w:tc>
          <w:tcPr>
            <w:tcW w:w="5471" w:type="dxa"/>
            <w:shd w:val="clear" w:color="auto" w:fill="auto"/>
            <w:vAlign w:val="center"/>
          </w:tcPr>
          <w:p w14:paraId="1B580A50">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本发明通过对声学边界元法基本解时间解析积分,利用主值积分和有限部分积分定义,获得关于时间的分段积分,针对每个时间段上的分段奇异积分,进行奇异主值分离使其正则化,主值积分再进行分段解析消除奇异性。而对于近奇异积分,将波距与源点到积分单元的最短距离结合起来,构建近奇异积分求解方法。本发明有效解决瞬态声学边界元法中的奇异积分,不必借助于拉普拉斯方程基本解。结合波距与源点到积分单元的最短距离的近奇异积分方法,能有效处理瞬态声学边界元法的波动奇异性与近奇异性,提高瞬态声学边界元法的计算精度和收敛性,提升瞬态声辐射噪声预测的准确性。</w:t>
            </w:r>
          </w:p>
        </w:tc>
        <w:tc>
          <w:tcPr>
            <w:tcW w:w="1620" w:type="dxa"/>
            <w:shd w:val="clear" w:color="auto" w:fill="auto"/>
            <w:vAlign w:val="center"/>
          </w:tcPr>
          <w:p w14:paraId="02D1CCB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谢贵重; 钟玉东; 李浩; 杜文辽; 邬昌军; 王良文; 李客; 孙春亚; 王昊琪; 谢欢; 刘林; 王滔; 张世欣</w:t>
            </w:r>
          </w:p>
        </w:tc>
        <w:tc>
          <w:tcPr>
            <w:tcW w:w="982" w:type="dxa"/>
            <w:shd w:val="clear" w:color="auto" w:fill="auto"/>
            <w:vAlign w:val="center"/>
          </w:tcPr>
          <w:p w14:paraId="746E1518">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长期使用权（10年）</w:t>
            </w:r>
          </w:p>
        </w:tc>
        <w:tc>
          <w:tcPr>
            <w:tcW w:w="750" w:type="dxa"/>
            <w:shd w:val="clear" w:color="auto" w:fill="auto"/>
            <w:vAlign w:val="center"/>
          </w:tcPr>
          <w:p w14:paraId="4E81EF4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技术许可</w:t>
            </w:r>
          </w:p>
        </w:tc>
        <w:tc>
          <w:tcPr>
            <w:tcW w:w="1204" w:type="dxa"/>
            <w:shd w:val="clear" w:color="auto" w:fill="auto"/>
            <w:vAlign w:val="center"/>
          </w:tcPr>
          <w:p w14:paraId="409846F5">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lang w:eastAsia="zh-CN"/>
              </w:rPr>
            </w:pPr>
            <w:r>
              <w:rPr>
                <w:rFonts w:hint="eastAsia" w:ascii="仿宋" w:hAnsi="仿宋" w:eastAsia="仿宋" w:cs="仿宋"/>
                <w:kern w:val="0"/>
                <w:sz w:val="21"/>
                <w:szCs w:val="21"/>
              </w:rPr>
              <w:t>3</w:t>
            </w:r>
          </w:p>
        </w:tc>
        <w:tc>
          <w:tcPr>
            <w:tcW w:w="1285" w:type="dxa"/>
            <w:shd w:val="clear" w:color="auto" w:fill="auto"/>
            <w:vAlign w:val="center"/>
          </w:tcPr>
          <w:p w14:paraId="41E16710">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r>
              <w:rPr>
                <w:rFonts w:hint="eastAsia" w:ascii="仿宋" w:hAnsi="仿宋" w:eastAsia="仿宋" w:cs="仿宋"/>
                <w:kern w:val="0"/>
                <w:sz w:val="21"/>
                <w:szCs w:val="21"/>
              </w:rPr>
              <w:t>河南达江环保科技有限公司</w:t>
            </w:r>
          </w:p>
          <w:p w14:paraId="417EBCB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c>
          <w:tcPr>
            <w:tcW w:w="786" w:type="dxa"/>
            <w:shd w:val="clear" w:color="auto" w:fill="auto"/>
            <w:vAlign w:val="center"/>
          </w:tcPr>
          <w:p w14:paraId="1FAC62DB">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1EE3C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39E87383">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default"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19</w:t>
            </w:r>
          </w:p>
        </w:tc>
        <w:tc>
          <w:tcPr>
            <w:tcW w:w="1195" w:type="dxa"/>
            <w:shd w:val="clear" w:color="auto" w:fill="auto"/>
            <w:vAlign w:val="center"/>
          </w:tcPr>
          <w:p w14:paraId="062E99E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2"/>
                <w:sz w:val="21"/>
                <w:szCs w:val="21"/>
                <w:lang w:val="en-US" w:eastAsia="zh-CN" w:bidi="ar-SA"/>
              </w:rPr>
            </w:pPr>
            <w:r>
              <w:rPr>
                <w:rFonts w:hint="eastAsia" w:ascii="仿宋" w:hAnsi="仿宋" w:eastAsia="仿宋" w:cs="仿宋"/>
                <w:bCs/>
                <w:sz w:val="21"/>
                <w:szCs w:val="21"/>
              </w:rPr>
              <w:t>一种基于量子表示学习的致病circRNA预测方法</w:t>
            </w:r>
          </w:p>
        </w:tc>
        <w:tc>
          <w:tcPr>
            <w:tcW w:w="5471" w:type="dxa"/>
            <w:shd w:val="clear" w:color="auto" w:fill="auto"/>
            <w:vAlign w:val="center"/>
          </w:tcPr>
          <w:p w14:paraId="3A17B10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bCs/>
                <w:kern w:val="2"/>
                <w:sz w:val="21"/>
                <w:szCs w:val="21"/>
                <w:lang w:val="en-US" w:eastAsia="zh-CN" w:bidi="ar-SA"/>
              </w:rPr>
            </w:pPr>
            <w:r>
              <w:rPr>
                <w:rFonts w:hint="eastAsia" w:ascii="仿宋" w:hAnsi="仿宋" w:eastAsia="仿宋" w:cs="仿宋"/>
                <w:sz w:val="21"/>
                <w:szCs w:val="21"/>
              </w:rPr>
              <w:t>本发明公开一种基于量子表示学习的致病circRNA预测方法。所述方法包括：整合多组学数据构建疾病和circRNA关联的多源异质分子网络；基于图门卷积神经网络提取节点的拓扑结构信息和上下文特征，得到circRNA和疾病的低维嵌入表示；利用量子多层感知器学习刻画疾病circRNA的联合特征表示，然后预测未知的致病circRNA。本发明基于多源生物异质分子网络进行特征建模，结合深度神经网络和量子生物语言模型的嵌入表示学习，精准、深入理解异质网络中circRNA与疾病之间的关联分析机制，该方法具有良好的可扩展性、实用性和应用前景。</w:t>
            </w:r>
          </w:p>
        </w:tc>
        <w:tc>
          <w:tcPr>
            <w:tcW w:w="1620" w:type="dxa"/>
            <w:shd w:val="clear" w:color="auto" w:fill="auto"/>
            <w:vAlign w:val="center"/>
          </w:tcPr>
          <w:p w14:paraId="6D4CFC8C">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郭延哺，李朝阳，辛向军</w:t>
            </w:r>
          </w:p>
        </w:tc>
        <w:tc>
          <w:tcPr>
            <w:tcW w:w="982" w:type="dxa"/>
            <w:shd w:val="clear"/>
            <w:vAlign w:val="center"/>
          </w:tcPr>
          <w:p w14:paraId="1336BE52">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2"/>
                <w:sz w:val="21"/>
                <w:szCs w:val="21"/>
                <w:lang w:val="en-US" w:eastAsia="zh-CN" w:bidi="ar-SA"/>
              </w:rPr>
            </w:pPr>
            <w:r>
              <w:rPr>
                <w:rFonts w:hint="eastAsia" w:ascii="仿宋" w:hAnsi="仿宋" w:eastAsia="仿宋" w:cs="仿宋"/>
                <w:snapToGrid w:val="0"/>
                <w:spacing w:val="-4"/>
                <w:kern w:val="0"/>
                <w:sz w:val="21"/>
                <w:szCs w:val="21"/>
              </w:rPr>
              <w:t>长期使用权（</w:t>
            </w:r>
            <w:r>
              <w:rPr>
                <w:rFonts w:hint="eastAsia" w:ascii="仿宋" w:hAnsi="仿宋" w:eastAsia="仿宋" w:cs="仿宋"/>
                <w:snapToGrid w:val="0"/>
                <w:spacing w:val="-4"/>
                <w:kern w:val="0"/>
                <w:sz w:val="21"/>
                <w:szCs w:val="21"/>
                <w:lang w:val="en-US" w:eastAsia="zh-CN"/>
              </w:rPr>
              <w:t>10</w:t>
            </w:r>
            <w:r>
              <w:rPr>
                <w:rFonts w:hint="eastAsia" w:ascii="仿宋" w:hAnsi="仿宋" w:eastAsia="仿宋" w:cs="仿宋"/>
                <w:snapToGrid w:val="0"/>
                <w:spacing w:val="-4"/>
                <w:kern w:val="0"/>
                <w:sz w:val="21"/>
                <w:szCs w:val="21"/>
              </w:rPr>
              <w:t>年）</w:t>
            </w:r>
          </w:p>
        </w:tc>
        <w:tc>
          <w:tcPr>
            <w:tcW w:w="750" w:type="dxa"/>
            <w:shd w:val="clear"/>
            <w:vAlign w:val="center"/>
          </w:tcPr>
          <w:p w14:paraId="1DBF8AB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技术许可</w:t>
            </w:r>
          </w:p>
        </w:tc>
        <w:tc>
          <w:tcPr>
            <w:tcW w:w="1204" w:type="dxa"/>
            <w:shd w:val="clear" w:color="auto" w:fill="auto"/>
            <w:vAlign w:val="center"/>
          </w:tcPr>
          <w:p w14:paraId="0D4F242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bCs/>
                <w:kern w:val="2"/>
                <w:sz w:val="21"/>
                <w:szCs w:val="21"/>
                <w:lang w:val="en-US" w:eastAsia="zh-CN" w:bidi="ar-SA"/>
              </w:rPr>
            </w:pPr>
            <w:r>
              <w:rPr>
                <w:rFonts w:hint="eastAsia" w:ascii="仿宋" w:hAnsi="仿宋" w:eastAsia="仿宋" w:cs="仿宋"/>
                <w:bCs/>
                <w:sz w:val="21"/>
                <w:szCs w:val="21"/>
              </w:rPr>
              <w:t>3.1</w:t>
            </w:r>
          </w:p>
        </w:tc>
        <w:tc>
          <w:tcPr>
            <w:tcW w:w="1285" w:type="dxa"/>
            <w:shd w:val="clear" w:color="auto" w:fill="auto"/>
            <w:vAlign w:val="center"/>
          </w:tcPr>
          <w:p w14:paraId="3F192BEA">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bCs/>
                <w:kern w:val="2"/>
                <w:sz w:val="21"/>
                <w:szCs w:val="21"/>
                <w:lang w:val="en-US" w:eastAsia="zh-CN" w:bidi="ar-SA"/>
              </w:rPr>
            </w:pPr>
            <w:r>
              <w:rPr>
                <w:rFonts w:hint="eastAsia" w:ascii="仿宋" w:hAnsi="仿宋" w:eastAsia="仿宋" w:cs="仿宋"/>
                <w:bCs/>
                <w:sz w:val="21"/>
                <w:szCs w:val="21"/>
              </w:rPr>
              <w:t>河南星芮虚拟现实科技有限责任公司</w:t>
            </w:r>
          </w:p>
        </w:tc>
        <w:tc>
          <w:tcPr>
            <w:tcW w:w="786" w:type="dxa"/>
            <w:shd w:val="clear" w:color="auto" w:fill="auto"/>
            <w:vAlign w:val="center"/>
          </w:tcPr>
          <w:p w14:paraId="2FB1D4D5">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r w14:paraId="7E771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FA9C396">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default"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20</w:t>
            </w:r>
          </w:p>
        </w:tc>
        <w:tc>
          <w:tcPr>
            <w:tcW w:w="1195" w:type="dxa"/>
            <w:shd w:val="clear"/>
            <w:vAlign w:val="center"/>
          </w:tcPr>
          <w:p w14:paraId="2545681F">
            <w:pPr>
              <w:keepNext w:val="0"/>
              <w:keepLines w:val="0"/>
              <w:pageBreakBefore w:val="0"/>
              <w:widowControl/>
              <w:shd w:val="clear" w:color="auto" w:fill="FFFFFF"/>
              <w:kinsoku/>
              <w:wordWrap/>
              <w:overflowPunct/>
              <w:topLinePunct w:val="0"/>
              <w:autoSpaceDE/>
              <w:autoSpaceDN/>
              <w:bidi w:val="0"/>
              <w:adjustRightInd/>
              <w:snapToGrid/>
              <w:spacing w:before="105" w:after="105"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一种基于太阳能储能的低能耗除湿烘衣机及烘衣方法</w:t>
            </w:r>
          </w:p>
        </w:tc>
        <w:tc>
          <w:tcPr>
            <w:tcW w:w="5471" w:type="dxa"/>
            <w:shd w:val="clear"/>
            <w:vAlign w:val="center"/>
          </w:tcPr>
          <w:p w14:paraId="0003B5E7">
            <w:pPr>
              <w:keepNext w:val="0"/>
              <w:keepLines w:val="0"/>
              <w:pageBreakBefore w:val="0"/>
              <w:widowControl/>
              <w:shd w:val="clear" w:color="auto" w:fill="FFFFFF"/>
              <w:kinsoku/>
              <w:wordWrap/>
              <w:overflowPunct/>
              <w:topLinePunct w:val="0"/>
              <w:autoSpaceDE/>
              <w:autoSpaceDN/>
              <w:bidi w:val="0"/>
              <w:adjustRightInd/>
              <w:snapToGrid/>
              <w:spacing w:before="105" w:after="105"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本发明设计了一种基于太阳能储能的低能耗除湿烘衣机。本发明通过太阳能集热板吸收免费的太阳能来加热导热油，并通过热化学吸附储热技术实现太阳能的随需输出，实现了超低能耗。通过释放复合储热材料储存的能量，对衣服进行低温除湿干燥，通过升温和除湿同步烘干，提高了对衣物的干燥速率与干燥品质，解决了传统烘衣机工作时烘衣速度慢、烘衣能耗大、成本高、烘衣品质差等问题。</w:t>
            </w:r>
          </w:p>
        </w:tc>
        <w:tc>
          <w:tcPr>
            <w:tcW w:w="1620" w:type="dxa"/>
            <w:shd w:val="clear"/>
            <w:vAlign w:val="center"/>
          </w:tcPr>
          <w:p w14:paraId="2155B50B">
            <w:pPr>
              <w:keepNext w:val="0"/>
              <w:keepLines w:val="0"/>
              <w:pageBreakBefore w:val="0"/>
              <w:widowControl/>
              <w:shd w:val="clear" w:color="auto" w:fill="FFFFFF"/>
              <w:kinsoku/>
              <w:wordWrap/>
              <w:overflowPunct/>
              <w:topLinePunct w:val="0"/>
              <w:autoSpaceDE/>
              <w:autoSpaceDN/>
              <w:bidi w:val="0"/>
              <w:adjustRightInd/>
              <w:snapToGrid/>
              <w:spacing w:before="105" w:after="105"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张雪龄;张军;张琦;李铭远;李洋凯;曹保鑫;李磊;黄楚圻；程传晓;常桐;陈俊霖;王保力;张远卓;杨雨东;尹旺滨;王亚杰;恒浩鹏;岳希慈</w:t>
            </w:r>
          </w:p>
        </w:tc>
        <w:tc>
          <w:tcPr>
            <w:tcW w:w="982" w:type="dxa"/>
            <w:shd w:val="clear"/>
            <w:vAlign w:val="center"/>
          </w:tcPr>
          <w:p w14:paraId="3DF1DEDA">
            <w:pPr>
              <w:keepNext w:val="0"/>
              <w:keepLines w:val="0"/>
              <w:pageBreakBefore w:val="0"/>
              <w:widowControl/>
              <w:shd w:val="clear" w:color="auto" w:fill="FFFFFF"/>
              <w:kinsoku/>
              <w:wordWrap/>
              <w:overflowPunct/>
              <w:topLinePunct w:val="0"/>
              <w:autoSpaceDE/>
              <w:autoSpaceDN/>
              <w:bidi w:val="0"/>
              <w:adjustRightInd/>
              <w:snapToGrid/>
              <w:spacing w:before="105" w:after="105"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长期使用权（</w:t>
            </w:r>
            <w:r>
              <w:rPr>
                <w:rFonts w:hint="eastAsia" w:ascii="仿宋" w:hAnsi="仿宋" w:eastAsia="仿宋" w:cs="仿宋"/>
                <w:snapToGrid w:val="0"/>
                <w:color w:val="000000"/>
                <w:spacing w:val="-4"/>
                <w:kern w:val="0"/>
                <w:sz w:val="21"/>
                <w:szCs w:val="21"/>
                <w:lang w:val="en-US" w:eastAsia="zh-CN"/>
              </w:rPr>
              <w:t>10</w:t>
            </w:r>
            <w:r>
              <w:rPr>
                <w:rFonts w:hint="eastAsia" w:ascii="仿宋" w:hAnsi="仿宋" w:eastAsia="仿宋" w:cs="仿宋"/>
                <w:snapToGrid w:val="0"/>
                <w:color w:val="000000"/>
                <w:spacing w:val="-4"/>
                <w:kern w:val="0"/>
                <w:sz w:val="21"/>
                <w:szCs w:val="21"/>
              </w:rPr>
              <w:t>年）</w:t>
            </w:r>
          </w:p>
        </w:tc>
        <w:tc>
          <w:tcPr>
            <w:tcW w:w="750" w:type="dxa"/>
            <w:shd w:val="clear"/>
            <w:vAlign w:val="center"/>
          </w:tcPr>
          <w:p w14:paraId="429C527C">
            <w:pPr>
              <w:keepNext w:val="0"/>
              <w:keepLines w:val="0"/>
              <w:pageBreakBefore w:val="0"/>
              <w:widowControl/>
              <w:shd w:val="clear" w:color="auto" w:fill="FFFFFF"/>
              <w:kinsoku/>
              <w:wordWrap/>
              <w:overflowPunct/>
              <w:topLinePunct w:val="0"/>
              <w:autoSpaceDE/>
              <w:autoSpaceDN/>
              <w:bidi w:val="0"/>
              <w:adjustRightInd/>
              <w:snapToGrid/>
              <w:spacing w:before="105" w:after="105"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技术许可</w:t>
            </w:r>
          </w:p>
        </w:tc>
        <w:tc>
          <w:tcPr>
            <w:tcW w:w="1204" w:type="dxa"/>
            <w:shd w:val="clear"/>
            <w:vAlign w:val="center"/>
          </w:tcPr>
          <w:p w14:paraId="2280FC35">
            <w:pPr>
              <w:keepNext w:val="0"/>
              <w:keepLines w:val="0"/>
              <w:pageBreakBefore w:val="0"/>
              <w:widowControl/>
              <w:shd w:val="clear" w:color="auto" w:fill="FFFFFF"/>
              <w:kinsoku/>
              <w:wordWrap/>
              <w:overflowPunct/>
              <w:topLinePunct w:val="0"/>
              <w:autoSpaceDE/>
              <w:autoSpaceDN/>
              <w:bidi w:val="0"/>
              <w:adjustRightInd/>
              <w:snapToGrid/>
              <w:spacing w:before="105" w:after="105"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10</w:t>
            </w:r>
          </w:p>
        </w:tc>
        <w:tc>
          <w:tcPr>
            <w:tcW w:w="1285" w:type="dxa"/>
            <w:shd w:val="clear"/>
            <w:vAlign w:val="center"/>
          </w:tcPr>
          <w:p w14:paraId="714514DE">
            <w:pPr>
              <w:keepNext w:val="0"/>
              <w:keepLines w:val="0"/>
              <w:pageBreakBefore w:val="0"/>
              <w:widowControl/>
              <w:shd w:val="clear" w:color="auto" w:fill="FFFFFF"/>
              <w:kinsoku/>
              <w:wordWrap/>
              <w:overflowPunct/>
              <w:topLinePunct w:val="0"/>
              <w:autoSpaceDE/>
              <w:autoSpaceDN/>
              <w:bidi w:val="0"/>
              <w:adjustRightInd/>
              <w:snapToGrid/>
              <w:spacing w:before="105" w:after="105"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郑州道艺新能源科技有限公司</w:t>
            </w:r>
          </w:p>
        </w:tc>
        <w:tc>
          <w:tcPr>
            <w:tcW w:w="786" w:type="dxa"/>
            <w:shd w:val="clear"/>
            <w:vAlign w:val="center"/>
          </w:tcPr>
          <w:p w14:paraId="13D541D3">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kern w:val="2"/>
                <w:sz w:val="21"/>
                <w:szCs w:val="21"/>
                <w:lang w:val="en-US" w:eastAsia="zh-CN" w:bidi="ar-SA"/>
              </w:rPr>
            </w:pPr>
          </w:p>
        </w:tc>
      </w:tr>
      <w:tr w14:paraId="222BE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64776E7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default"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21</w:t>
            </w:r>
          </w:p>
        </w:tc>
        <w:tc>
          <w:tcPr>
            <w:tcW w:w="1195" w:type="dxa"/>
            <w:shd w:val="clear"/>
            <w:vAlign w:val="center"/>
          </w:tcPr>
          <w:p w14:paraId="5CC3EBE8">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sz w:val="21"/>
                <w:szCs w:val="21"/>
              </w:rPr>
            </w:pPr>
            <w:r>
              <w:rPr>
                <w:rFonts w:hint="eastAsia" w:ascii="仿宋" w:hAnsi="仿宋" w:eastAsia="仿宋" w:cs="仿宋"/>
                <w:sz w:val="21"/>
                <w:szCs w:val="21"/>
              </w:rPr>
              <w:t>一种高效的闭式热化学吸附储热测试系统</w:t>
            </w:r>
          </w:p>
          <w:p w14:paraId="557128BA">
            <w:pPr>
              <w:keepNext w:val="0"/>
              <w:keepLines w:val="0"/>
              <w:pageBreakBefore w:val="0"/>
              <w:widowControl/>
              <w:shd w:val="clear" w:color="auto" w:fill="FFFFFF"/>
              <w:kinsoku/>
              <w:wordWrap/>
              <w:overflowPunct/>
              <w:topLinePunct w:val="0"/>
              <w:autoSpaceDE/>
              <w:autoSpaceDN/>
              <w:bidi w:val="0"/>
              <w:adjustRightInd/>
              <w:snapToGrid/>
              <w:spacing w:before="105" w:after="105" w:line="480" w:lineRule="auto"/>
              <w:jc w:val="center"/>
              <w:rPr>
                <w:rFonts w:hint="eastAsia" w:ascii="仿宋" w:hAnsi="仿宋" w:eastAsia="仿宋" w:cs="仿宋"/>
                <w:snapToGrid w:val="0"/>
                <w:color w:val="000000"/>
                <w:spacing w:val="-4"/>
                <w:kern w:val="0"/>
                <w:sz w:val="21"/>
                <w:szCs w:val="21"/>
                <w:lang w:val="en-US" w:eastAsia="zh-CN" w:bidi="ar-SA"/>
              </w:rPr>
            </w:pPr>
          </w:p>
        </w:tc>
        <w:tc>
          <w:tcPr>
            <w:tcW w:w="5471" w:type="dxa"/>
            <w:shd w:val="clear"/>
            <w:vAlign w:val="center"/>
          </w:tcPr>
          <w:p w14:paraId="1E6AA6C4">
            <w:pPr>
              <w:keepNext w:val="0"/>
              <w:keepLines w:val="0"/>
              <w:pageBreakBefore w:val="0"/>
              <w:widowControl/>
              <w:kinsoku/>
              <w:wordWrap/>
              <w:overflowPunct/>
              <w:topLinePunct w:val="0"/>
              <w:autoSpaceDE/>
              <w:autoSpaceDN/>
              <w:bidi w:val="0"/>
              <w:adjustRightInd/>
              <w:snapToGrid/>
              <w:spacing w:line="480" w:lineRule="auto"/>
              <w:ind w:firstLine="420" w:firstLineChars="200"/>
              <w:jc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bidi="ar"/>
              </w:rPr>
              <w:t>本发明公开了一种高效的闭式热化学吸附储热测试系统，包括具有高效换热效果的反应器，还包括蒸发/冷凝器、真空泵、高温恒温器、低温恒温器，两个恒温器可以通过阀门的开启和关闭控制热化学吸附储热过程的吸附、解吸、储存各个阶段反应器和蒸发/冷凝器的升温、降温，完成热化学充热和释热的高效测试，本申请的重点是利用换热结构的矩形网状箱体中蛇形盘管和储热材料来实现储能和释热的过程。本发明的有益效果是，结构设计简单，可视操作，制作成本低，测试高效便捷，安全性能好。</w:t>
            </w:r>
          </w:p>
        </w:tc>
        <w:tc>
          <w:tcPr>
            <w:tcW w:w="1620" w:type="dxa"/>
            <w:shd w:val="clear"/>
            <w:vAlign w:val="center"/>
          </w:tcPr>
          <w:p w14:paraId="5FCEE727">
            <w:pPr>
              <w:keepNext w:val="0"/>
              <w:keepLines w:val="0"/>
              <w:pageBreakBefore w:val="0"/>
              <w:widowControl/>
              <w:shd w:val="clear" w:color="auto" w:fill="FFFFFF"/>
              <w:kinsoku/>
              <w:wordWrap/>
              <w:overflowPunct/>
              <w:topLinePunct w:val="0"/>
              <w:autoSpaceDE/>
              <w:autoSpaceDN/>
              <w:bidi w:val="0"/>
              <w:adjustRightInd/>
              <w:snapToGrid/>
              <w:spacing w:before="105" w:after="105"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张雪龄;张琦;王燕令;王菲菲;雷旭东;赵萧涵;高子华；陈俊豪</w:t>
            </w:r>
          </w:p>
        </w:tc>
        <w:tc>
          <w:tcPr>
            <w:tcW w:w="982" w:type="dxa"/>
            <w:shd w:val="clear" w:color="auto" w:fill="auto"/>
            <w:vAlign w:val="center"/>
          </w:tcPr>
          <w:p w14:paraId="1F67A16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c>
          <w:tcPr>
            <w:tcW w:w="750" w:type="dxa"/>
            <w:shd w:val="clear" w:color="auto" w:fill="auto"/>
            <w:vAlign w:val="center"/>
          </w:tcPr>
          <w:p w14:paraId="49B6F144">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c>
          <w:tcPr>
            <w:tcW w:w="1204" w:type="dxa"/>
            <w:shd w:val="clear" w:color="auto" w:fill="auto"/>
            <w:vAlign w:val="center"/>
          </w:tcPr>
          <w:p w14:paraId="1BD6955E">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c>
          <w:tcPr>
            <w:tcW w:w="1285" w:type="dxa"/>
            <w:shd w:val="clear" w:color="auto" w:fill="auto"/>
            <w:vAlign w:val="center"/>
          </w:tcPr>
          <w:p w14:paraId="6BAD936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c>
          <w:tcPr>
            <w:tcW w:w="786" w:type="dxa"/>
            <w:shd w:val="clear"/>
            <w:vAlign w:val="center"/>
          </w:tcPr>
          <w:p w14:paraId="66BDFD06">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kern w:val="2"/>
                <w:sz w:val="21"/>
                <w:szCs w:val="21"/>
                <w:lang w:val="en-US" w:eastAsia="zh-CN" w:bidi="ar-SA"/>
              </w:rPr>
            </w:pPr>
          </w:p>
        </w:tc>
      </w:tr>
      <w:tr w14:paraId="5DC6D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3A465CBA">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default"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22</w:t>
            </w:r>
          </w:p>
        </w:tc>
        <w:tc>
          <w:tcPr>
            <w:tcW w:w="1195" w:type="dxa"/>
            <w:shd w:val="clear"/>
            <w:vAlign w:val="center"/>
          </w:tcPr>
          <w:p w14:paraId="4EDBCB6E">
            <w:pPr>
              <w:keepNext w:val="0"/>
              <w:keepLines w:val="0"/>
              <w:pageBreakBefore w:val="0"/>
              <w:widowControl/>
              <w:shd w:val="clear" w:color="auto" w:fill="FFFFFF"/>
              <w:kinsoku/>
              <w:wordWrap/>
              <w:overflowPunct/>
              <w:topLinePunct w:val="0"/>
              <w:autoSpaceDE/>
              <w:autoSpaceDN/>
              <w:bidi w:val="0"/>
              <w:adjustRightInd/>
              <w:snapToGrid/>
              <w:spacing w:before="105" w:after="105"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z w:val="21"/>
                <w:szCs w:val="21"/>
              </w:rPr>
              <w:t>一种客车用自供能磁流变悬置减振器</w:t>
            </w:r>
          </w:p>
        </w:tc>
        <w:tc>
          <w:tcPr>
            <w:tcW w:w="5471" w:type="dxa"/>
            <w:shd w:val="clear"/>
            <w:vAlign w:val="center"/>
          </w:tcPr>
          <w:p w14:paraId="0AA6DA18">
            <w:pPr>
              <w:keepNext w:val="0"/>
              <w:keepLines w:val="0"/>
              <w:pageBreakBefore w:val="0"/>
              <w:widowControl/>
              <w:kinsoku/>
              <w:wordWrap/>
              <w:overflowPunct/>
              <w:topLinePunct w:val="0"/>
              <w:autoSpaceDE/>
              <w:autoSpaceDN/>
              <w:bidi w:val="0"/>
              <w:adjustRightInd/>
              <w:snapToGrid/>
              <w:spacing w:line="480" w:lineRule="auto"/>
              <w:ind w:firstLine="420" w:firstLineChars="200"/>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color w:val="000000"/>
                <w:kern w:val="0"/>
                <w:sz w:val="21"/>
                <w:szCs w:val="21"/>
                <w:lang w:bidi="ar"/>
              </w:rPr>
              <w:t>本发明公开了一种客车用自供能磁流变悬置减振器，包括客车底盘本体，所述客车底盘本体上设有减振固定机构，所述客车底盘本体上设有发动机减振机构，所述通过发动机减振机构对发动机进行减振，所述客车底盘本体上设有电量储存机构，所述通过电量储存机构对电能进行储存，所述客车底盘本体上设有磁流变液注入机构，所述通过磁流变液注入机构进行加磁流变液，所述客车底盘本体上设有控制器。本发明的有益效果是，利用压电材料的自发电效果以及采用磁流变液的减振特点，来实现客车减振器自供能的功效，提高减振器的实用性。</w:t>
            </w:r>
          </w:p>
        </w:tc>
        <w:tc>
          <w:tcPr>
            <w:tcW w:w="1620" w:type="dxa"/>
            <w:shd w:val="clear"/>
            <w:vAlign w:val="center"/>
          </w:tcPr>
          <w:p w14:paraId="7773DF80">
            <w:pPr>
              <w:keepNext w:val="0"/>
              <w:keepLines w:val="0"/>
              <w:pageBreakBefore w:val="0"/>
              <w:widowControl/>
              <w:shd w:val="clear" w:color="auto" w:fill="FFFFFF"/>
              <w:kinsoku/>
              <w:wordWrap/>
              <w:overflowPunct/>
              <w:topLinePunct w:val="0"/>
              <w:autoSpaceDE/>
              <w:autoSpaceDN/>
              <w:bidi w:val="0"/>
              <w:adjustRightInd/>
              <w:snapToGrid/>
              <w:spacing w:before="105" w:after="105"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张雪龄;王燕令;苌生闯;喻昌鲲;赵凯旋;师渝滔;邝颂雅；王菲菲;张伟杰</w:t>
            </w:r>
          </w:p>
        </w:tc>
        <w:tc>
          <w:tcPr>
            <w:tcW w:w="982" w:type="dxa"/>
            <w:shd w:val="clear" w:color="auto" w:fill="auto"/>
            <w:vAlign w:val="center"/>
          </w:tcPr>
          <w:p w14:paraId="17C6616C">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c>
          <w:tcPr>
            <w:tcW w:w="750" w:type="dxa"/>
            <w:shd w:val="clear" w:color="auto" w:fill="auto"/>
            <w:vAlign w:val="center"/>
          </w:tcPr>
          <w:p w14:paraId="2D83A1EA">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c>
          <w:tcPr>
            <w:tcW w:w="1204" w:type="dxa"/>
            <w:shd w:val="clear" w:color="auto" w:fill="auto"/>
            <w:vAlign w:val="center"/>
          </w:tcPr>
          <w:p w14:paraId="29B3AE77">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c>
          <w:tcPr>
            <w:tcW w:w="1285" w:type="dxa"/>
            <w:shd w:val="clear" w:color="auto" w:fill="auto"/>
            <w:vAlign w:val="center"/>
          </w:tcPr>
          <w:p w14:paraId="3D15234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c>
          <w:tcPr>
            <w:tcW w:w="786" w:type="dxa"/>
            <w:shd w:val="clear"/>
            <w:vAlign w:val="center"/>
          </w:tcPr>
          <w:p w14:paraId="6508B80A">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kern w:val="2"/>
                <w:sz w:val="21"/>
                <w:szCs w:val="21"/>
                <w:lang w:val="en-US" w:eastAsia="zh-CN" w:bidi="ar-SA"/>
              </w:rPr>
            </w:pPr>
          </w:p>
        </w:tc>
      </w:tr>
      <w:tr w14:paraId="0462B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0A2BBB3D">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default" w:ascii="仿宋" w:hAnsi="仿宋" w:eastAsia="仿宋" w:cs="仿宋"/>
                <w:kern w:val="0"/>
                <w:sz w:val="21"/>
                <w:szCs w:val="21"/>
                <w:lang w:val="en-US" w:eastAsia="zh-CN"/>
              </w:rPr>
            </w:pPr>
            <w:r>
              <w:rPr>
                <w:rFonts w:hint="eastAsia" w:ascii="仿宋" w:hAnsi="仿宋" w:eastAsia="仿宋" w:cs="仿宋"/>
                <w:kern w:val="0"/>
                <w:sz w:val="21"/>
                <w:szCs w:val="21"/>
                <w:lang w:val="en-US" w:eastAsia="zh-CN"/>
              </w:rPr>
              <w:t>23</w:t>
            </w:r>
          </w:p>
        </w:tc>
        <w:tc>
          <w:tcPr>
            <w:tcW w:w="1195" w:type="dxa"/>
            <w:shd w:val="clear" w:color="auto" w:fill="auto"/>
            <w:vAlign w:val="center"/>
          </w:tcPr>
          <w:p w14:paraId="7B3696C8">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基于AI的智能空气净化器软件系统</w:t>
            </w:r>
          </w:p>
        </w:tc>
        <w:tc>
          <w:tcPr>
            <w:tcW w:w="5471" w:type="dxa"/>
            <w:shd w:val="clear" w:color="auto" w:fill="auto"/>
            <w:vAlign w:val="center"/>
          </w:tcPr>
          <w:p w14:paraId="722236BC">
            <w:pPr>
              <w:keepNext w:val="0"/>
              <w:keepLines w:val="0"/>
              <w:pageBreakBefore w:val="0"/>
              <w:widowControl/>
              <w:kinsoku/>
              <w:wordWrap/>
              <w:overflowPunct/>
              <w:topLinePunct w:val="0"/>
              <w:autoSpaceDE/>
              <w:autoSpaceDN/>
              <w:bidi w:val="0"/>
              <w:adjustRightInd/>
              <w:snapToGrid/>
              <w:spacing w:before="78" w:line="480" w:lineRule="auto"/>
              <w:ind w:firstLine="404" w:firstLineChars="200"/>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本系统通过环境感知与自适应算法，实现了对空气质量的动态监测、污染物精准识别及净化模式的自动优化调控。</w:t>
            </w:r>
          </w:p>
        </w:tc>
        <w:tc>
          <w:tcPr>
            <w:tcW w:w="1620" w:type="dxa"/>
            <w:shd w:val="clear" w:color="auto" w:fill="auto"/>
            <w:vAlign w:val="center"/>
          </w:tcPr>
          <w:p w14:paraId="18190587">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snapToGrid w:val="0"/>
                <w:color w:val="000000"/>
                <w:spacing w:val="-4"/>
                <w:kern w:val="0"/>
                <w:sz w:val="21"/>
                <w:szCs w:val="21"/>
              </w:rPr>
              <w:t>郭根、过李峤、王俊杰</w:t>
            </w:r>
          </w:p>
        </w:tc>
        <w:tc>
          <w:tcPr>
            <w:tcW w:w="982" w:type="dxa"/>
            <w:shd w:val="clear" w:color="auto" w:fill="auto"/>
            <w:vAlign w:val="center"/>
          </w:tcPr>
          <w:p w14:paraId="62017B63">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snapToGrid w:val="0"/>
                <w:color w:val="000000"/>
                <w:spacing w:val="-4"/>
                <w:kern w:val="0"/>
                <w:sz w:val="21"/>
                <w:szCs w:val="21"/>
                <w:lang w:val="en-US" w:eastAsia="zh-CN" w:bidi="ar-SA"/>
              </w:rPr>
            </w:pPr>
            <w:r>
              <w:rPr>
                <w:rFonts w:hint="eastAsia" w:ascii="仿宋" w:hAnsi="仿宋" w:eastAsia="仿宋" w:cs="仿宋"/>
                <w:color w:val="auto"/>
                <w:spacing w:val="-4"/>
                <w:kern w:val="0"/>
                <w:sz w:val="21"/>
                <w:szCs w:val="21"/>
              </w:rPr>
              <w:t>所有权（学校10%，成果完成团队90%）</w:t>
            </w:r>
          </w:p>
        </w:tc>
        <w:tc>
          <w:tcPr>
            <w:tcW w:w="750" w:type="dxa"/>
            <w:shd w:val="clear" w:color="auto" w:fill="auto"/>
            <w:vAlign w:val="center"/>
          </w:tcPr>
          <w:p w14:paraId="2EF8E087">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color w:val="FF0000"/>
                <w:sz w:val="21"/>
                <w:szCs w:val="21"/>
              </w:rPr>
            </w:pPr>
            <w:r>
              <w:rPr>
                <w:rFonts w:hint="eastAsia" w:ascii="仿宋" w:hAnsi="仿宋" w:eastAsia="仿宋" w:cs="仿宋"/>
                <w:color w:val="auto"/>
                <w:sz w:val="21"/>
                <w:szCs w:val="21"/>
              </w:rPr>
              <w:t>技术转让</w:t>
            </w:r>
          </w:p>
          <w:p w14:paraId="029321DA">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kern w:val="2"/>
                <w:sz w:val="21"/>
                <w:szCs w:val="21"/>
                <w:lang w:val="en-US" w:eastAsia="zh-CN" w:bidi="ar-SA"/>
              </w:rPr>
            </w:pPr>
          </w:p>
        </w:tc>
        <w:tc>
          <w:tcPr>
            <w:tcW w:w="1204" w:type="dxa"/>
            <w:shd w:val="clear" w:color="auto" w:fill="auto"/>
            <w:vAlign w:val="center"/>
          </w:tcPr>
          <w:p w14:paraId="3087E6DD">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kern w:val="2"/>
                <w:sz w:val="21"/>
                <w:szCs w:val="21"/>
                <w:lang w:val="en-US" w:eastAsia="zh-CN" w:bidi="ar-SA"/>
              </w:rPr>
            </w:pPr>
            <w:r>
              <w:rPr>
                <w:rFonts w:hint="eastAsia" w:ascii="仿宋" w:hAnsi="仿宋" w:eastAsia="仿宋" w:cs="仿宋"/>
                <w:sz w:val="21"/>
                <w:szCs w:val="21"/>
              </w:rPr>
              <w:t>9.25</w:t>
            </w:r>
          </w:p>
        </w:tc>
        <w:tc>
          <w:tcPr>
            <w:tcW w:w="1285" w:type="dxa"/>
            <w:shd w:val="clear" w:color="auto" w:fill="auto"/>
            <w:vAlign w:val="center"/>
          </w:tcPr>
          <w:p w14:paraId="12D1E5EE">
            <w:pPr>
              <w:keepNext w:val="0"/>
              <w:keepLines w:val="0"/>
              <w:pageBreakBefore w:val="0"/>
              <w:widowControl/>
              <w:kinsoku/>
              <w:wordWrap/>
              <w:overflowPunct/>
              <w:topLinePunct w:val="0"/>
              <w:autoSpaceDE/>
              <w:autoSpaceDN/>
              <w:bidi w:val="0"/>
              <w:adjustRightInd/>
              <w:snapToGrid/>
              <w:spacing w:line="480" w:lineRule="auto"/>
              <w:jc w:val="center"/>
              <w:rPr>
                <w:rFonts w:hint="eastAsia" w:ascii="仿宋" w:hAnsi="仿宋" w:eastAsia="仿宋" w:cs="仿宋"/>
                <w:snapToGrid w:val="0"/>
                <w:color w:val="000000"/>
                <w:spacing w:val="-3"/>
                <w:kern w:val="0"/>
                <w:sz w:val="21"/>
                <w:szCs w:val="21"/>
                <w:lang w:val="en-US" w:eastAsia="zh-CN" w:bidi="ar-SA"/>
              </w:rPr>
            </w:pPr>
            <w:r>
              <w:rPr>
                <w:rFonts w:hint="eastAsia" w:ascii="仿宋" w:hAnsi="仿宋" w:eastAsia="仿宋" w:cs="仿宋"/>
                <w:snapToGrid w:val="0"/>
                <w:color w:val="000000"/>
                <w:spacing w:val="-3"/>
                <w:kern w:val="0"/>
                <w:sz w:val="21"/>
                <w:szCs w:val="21"/>
              </w:rPr>
              <w:t>河南省新之林机电设备有限公司</w:t>
            </w:r>
          </w:p>
        </w:tc>
        <w:tc>
          <w:tcPr>
            <w:tcW w:w="786" w:type="dxa"/>
            <w:shd w:val="clear" w:color="auto" w:fill="auto"/>
            <w:vAlign w:val="center"/>
          </w:tcPr>
          <w:p w14:paraId="58B5C62F">
            <w:pPr>
              <w:keepNext w:val="0"/>
              <w:keepLines w:val="0"/>
              <w:pageBreakBefore w:val="0"/>
              <w:widowControl/>
              <w:kinsoku/>
              <w:wordWrap/>
              <w:overflowPunct/>
              <w:topLinePunct w:val="0"/>
              <w:autoSpaceDE/>
              <w:autoSpaceDN/>
              <w:bidi w:val="0"/>
              <w:adjustRightInd/>
              <w:snapToGrid/>
              <w:spacing w:line="480" w:lineRule="auto"/>
              <w:jc w:val="center"/>
              <w:textAlignment w:val="center"/>
              <w:rPr>
                <w:rFonts w:hint="eastAsia" w:ascii="仿宋" w:hAnsi="仿宋" w:eastAsia="仿宋" w:cs="仿宋"/>
                <w:kern w:val="0"/>
                <w:sz w:val="21"/>
                <w:szCs w:val="21"/>
              </w:rPr>
            </w:pPr>
          </w:p>
        </w:tc>
      </w:tr>
    </w:tbl>
    <w:p w14:paraId="19EDD718">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2010601030101010101"/>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0301D6"/>
    <w:rsid w:val="0003178E"/>
    <w:rsid w:val="00034120"/>
    <w:rsid w:val="000A7D98"/>
    <w:rsid w:val="00210366"/>
    <w:rsid w:val="00216D99"/>
    <w:rsid w:val="002230D1"/>
    <w:rsid w:val="002540A2"/>
    <w:rsid w:val="004C0783"/>
    <w:rsid w:val="004C5782"/>
    <w:rsid w:val="0052271F"/>
    <w:rsid w:val="00550E18"/>
    <w:rsid w:val="00636A37"/>
    <w:rsid w:val="00641375"/>
    <w:rsid w:val="00662410"/>
    <w:rsid w:val="0066617A"/>
    <w:rsid w:val="00685682"/>
    <w:rsid w:val="0070743C"/>
    <w:rsid w:val="00815429"/>
    <w:rsid w:val="009D0FD4"/>
    <w:rsid w:val="00A50932"/>
    <w:rsid w:val="00AF1448"/>
    <w:rsid w:val="00B379F5"/>
    <w:rsid w:val="00BB12B0"/>
    <w:rsid w:val="00BB4201"/>
    <w:rsid w:val="00D41299"/>
    <w:rsid w:val="00D56739"/>
    <w:rsid w:val="00D902F5"/>
    <w:rsid w:val="00D96F09"/>
    <w:rsid w:val="00DD55C6"/>
    <w:rsid w:val="00E95543"/>
    <w:rsid w:val="00EB2F29"/>
    <w:rsid w:val="00ED2FDA"/>
    <w:rsid w:val="00F72F1E"/>
    <w:rsid w:val="00F83ECA"/>
    <w:rsid w:val="0C9F65A8"/>
    <w:rsid w:val="0F2B62DD"/>
    <w:rsid w:val="1308507D"/>
    <w:rsid w:val="1F600667"/>
    <w:rsid w:val="240A745B"/>
    <w:rsid w:val="260E1D77"/>
    <w:rsid w:val="26235823"/>
    <w:rsid w:val="27246A48"/>
    <w:rsid w:val="3857366C"/>
    <w:rsid w:val="3C357C06"/>
    <w:rsid w:val="415E2C8C"/>
    <w:rsid w:val="481808DF"/>
    <w:rsid w:val="4B2B3687"/>
    <w:rsid w:val="50D852D8"/>
    <w:rsid w:val="53787041"/>
    <w:rsid w:val="55807CEC"/>
    <w:rsid w:val="58406388"/>
    <w:rsid w:val="620E3628"/>
    <w:rsid w:val="626F25BB"/>
    <w:rsid w:val="6A3E376A"/>
    <w:rsid w:val="6ABF49BB"/>
    <w:rsid w:val="6B2B0470"/>
    <w:rsid w:val="6D8C502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b/>
      <w:bCs/>
      <w:kern w:val="44"/>
      <w:sz w:val="48"/>
      <w:szCs w:val="48"/>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5775</Words>
  <Characters>5848</Characters>
  <Lines>9</Lines>
  <Paragraphs>2</Paragraphs>
  <TotalTime>5</TotalTime>
  <ScaleCrop>false</ScaleCrop>
  <LinksUpToDate>false</LinksUpToDate>
  <CharactersWithSpaces>6114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2024-10-21T07:48:00Z</dcterms:created>
  <dc:creator>文档存本地丢失不负责</dc:creator>
  <cp:lastModifiedBy>鲍雅如</cp:lastModifiedBy>
  <cp:lastPrinted>2025-12-15T07:04:00Z</cp:lastPrinted>
  <dcterms:modified xsi:type="dcterms:W3CDTF">2025-12-16T08:36:46Z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