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0FDD3B">
      <w:pPr>
        <w:jc w:val="center"/>
        <w:rPr>
          <w:rFonts w:hint="eastAsia" w:ascii="方正小标宋简体" w:hAnsi="方正小标宋简体" w:eastAsia="方正小标宋简体" w:cs="方正小标宋简体"/>
          <w:sz w:val="44"/>
          <w:szCs w:val="44"/>
        </w:rPr>
      </w:pPr>
      <w:bookmarkStart w:id="0" w:name="_GoBack"/>
      <w:bookmarkEnd w:id="0"/>
      <w:r>
        <w:rPr>
          <w:rFonts w:hint="eastAsia" w:ascii="方正小标宋简体" w:hAnsi="方正小标宋简体" w:eastAsia="方正小标宋简体" w:cs="方正小标宋简体"/>
          <w:sz w:val="44"/>
          <w:szCs w:val="44"/>
        </w:rPr>
        <w:t>郑州轻工业大学科研成果赋权情况表</w:t>
      </w:r>
    </w:p>
    <w:p w14:paraId="39A70EA7">
      <w:pPr>
        <w:spacing w:before="156" w:beforeLines="50"/>
        <w:jc w:val="center"/>
        <w:rPr>
          <w:rFonts w:hint="eastAsia" w:ascii="仿宋" w:hAnsi="仿宋" w:eastAsia="仿宋" w:cs="仿宋"/>
          <w:sz w:val="28"/>
          <w:szCs w:val="28"/>
        </w:rPr>
      </w:pPr>
      <w:r>
        <w:rPr>
          <w:rFonts w:hint="eastAsia" w:ascii="仿宋" w:hAnsi="仿宋" w:eastAsia="仿宋" w:cs="仿宋"/>
          <w:sz w:val="28"/>
          <w:szCs w:val="28"/>
        </w:rPr>
        <w:t xml:space="preserve">                                                                      时间：2026年6月</w:t>
      </w:r>
      <w:r>
        <w:rPr>
          <w:rFonts w:hint="eastAsia" w:ascii="仿宋" w:hAnsi="仿宋" w:eastAsia="仿宋" w:cs="仿宋"/>
          <w:sz w:val="28"/>
          <w:szCs w:val="28"/>
          <w:lang w:val="en-US" w:eastAsia="zh-CN"/>
        </w:rPr>
        <w:t>30</w:t>
      </w:r>
      <w:r>
        <w:rPr>
          <w:rFonts w:hint="eastAsia" w:ascii="仿宋" w:hAnsi="仿宋" w:eastAsia="仿宋" w:cs="仿宋"/>
          <w:sz w:val="28"/>
          <w:szCs w:val="28"/>
        </w:rPr>
        <w:t>日</w:t>
      </w:r>
    </w:p>
    <w:tbl>
      <w:tblPr>
        <w:tblStyle w:val="4"/>
        <w:tblpPr w:leftFromText="180" w:rightFromText="180" w:vertAnchor="text" w:horzAnchor="page" w:tblpX="1551" w:tblpY="435"/>
        <w:tblOverlap w:val="never"/>
        <w:tblW w:w="138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2049"/>
        <w:gridCol w:w="3184"/>
        <w:gridCol w:w="1966"/>
        <w:gridCol w:w="1445"/>
        <w:gridCol w:w="1289"/>
        <w:gridCol w:w="1233"/>
        <w:gridCol w:w="1341"/>
        <w:gridCol w:w="786"/>
      </w:tblGrid>
      <w:tr w14:paraId="58B9D7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544" w:type="dxa"/>
            <w:vAlign w:val="center"/>
          </w:tcPr>
          <w:p w14:paraId="58E9FDEC">
            <w:pPr>
              <w:snapToGrid w:val="0"/>
              <w:spacing w:line="340" w:lineRule="atLeast"/>
              <w:jc w:val="center"/>
              <w:rPr>
                <w:rFonts w:hint="eastAsia" w:ascii="黑体" w:hAnsi="黑体" w:eastAsia="黑体" w:cs="黑体"/>
                <w:sz w:val="24"/>
              </w:rPr>
            </w:pPr>
            <w:r>
              <w:rPr>
                <w:rFonts w:hint="eastAsia" w:ascii="黑体" w:hAnsi="黑体" w:eastAsia="黑体" w:cs="黑体"/>
                <w:sz w:val="24"/>
              </w:rPr>
              <w:t>序号</w:t>
            </w:r>
          </w:p>
        </w:tc>
        <w:tc>
          <w:tcPr>
            <w:tcW w:w="2049" w:type="dxa"/>
            <w:vAlign w:val="center"/>
          </w:tcPr>
          <w:p w14:paraId="23BF3E19">
            <w:pPr>
              <w:snapToGrid w:val="0"/>
              <w:spacing w:line="340" w:lineRule="atLeast"/>
              <w:jc w:val="center"/>
              <w:rPr>
                <w:rFonts w:hint="eastAsia" w:ascii="黑体" w:hAnsi="黑体" w:eastAsia="黑体" w:cs="黑体"/>
                <w:sz w:val="24"/>
              </w:rPr>
            </w:pPr>
            <w:r>
              <w:rPr>
                <w:rFonts w:hint="eastAsia" w:ascii="黑体" w:hAnsi="黑体" w:eastAsia="黑体" w:cs="黑体"/>
                <w:sz w:val="24"/>
              </w:rPr>
              <w:t>成果名称</w:t>
            </w:r>
          </w:p>
        </w:tc>
        <w:tc>
          <w:tcPr>
            <w:tcW w:w="3184" w:type="dxa"/>
            <w:vAlign w:val="center"/>
          </w:tcPr>
          <w:p w14:paraId="7ABE061E">
            <w:pPr>
              <w:snapToGrid w:val="0"/>
              <w:spacing w:line="340" w:lineRule="atLeast"/>
              <w:jc w:val="center"/>
              <w:rPr>
                <w:rFonts w:hint="eastAsia" w:ascii="黑体" w:hAnsi="黑体" w:eastAsia="黑体" w:cs="黑体"/>
                <w:sz w:val="24"/>
              </w:rPr>
            </w:pPr>
            <w:r>
              <w:rPr>
                <w:rFonts w:hint="eastAsia" w:ascii="黑体" w:hAnsi="黑体" w:eastAsia="黑体" w:cs="黑体"/>
                <w:sz w:val="24"/>
              </w:rPr>
              <w:t>成果内容摘要</w:t>
            </w:r>
          </w:p>
        </w:tc>
        <w:tc>
          <w:tcPr>
            <w:tcW w:w="1966" w:type="dxa"/>
            <w:vAlign w:val="center"/>
          </w:tcPr>
          <w:p w14:paraId="66FDA036">
            <w:pPr>
              <w:snapToGrid w:val="0"/>
              <w:spacing w:line="340" w:lineRule="atLeast"/>
              <w:jc w:val="center"/>
              <w:rPr>
                <w:rFonts w:hint="eastAsia" w:ascii="黑体" w:hAnsi="黑体" w:eastAsia="黑体" w:cs="黑体"/>
                <w:sz w:val="24"/>
              </w:rPr>
            </w:pPr>
            <w:r>
              <w:rPr>
                <w:rFonts w:hint="eastAsia" w:ascii="黑体" w:hAnsi="黑体" w:eastAsia="黑体" w:cs="黑体"/>
                <w:sz w:val="24"/>
              </w:rPr>
              <w:t>成果完成人</w:t>
            </w:r>
          </w:p>
        </w:tc>
        <w:tc>
          <w:tcPr>
            <w:tcW w:w="1445" w:type="dxa"/>
            <w:vAlign w:val="center"/>
          </w:tcPr>
          <w:p w14:paraId="2AF82670">
            <w:pPr>
              <w:snapToGrid w:val="0"/>
              <w:spacing w:line="340" w:lineRule="atLeast"/>
              <w:jc w:val="center"/>
              <w:rPr>
                <w:rFonts w:hint="eastAsia" w:ascii="黑体" w:hAnsi="黑体" w:eastAsia="黑体" w:cs="黑体"/>
                <w:sz w:val="24"/>
              </w:rPr>
            </w:pPr>
            <w:r>
              <w:rPr>
                <w:rFonts w:hint="eastAsia" w:ascii="黑体" w:hAnsi="黑体" w:eastAsia="黑体" w:cs="黑体"/>
                <w:sz w:val="24"/>
              </w:rPr>
              <w:t>赋权类型</w:t>
            </w:r>
          </w:p>
        </w:tc>
        <w:tc>
          <w:tcPr>
            <w:tcW w:w="1289" w:type="dxa"/>
            <w:vAlign w:val="center"/>
          </w:tcPr>
          <w:p w14:paraId="0CE762F8">
            <w:pPr>
              <w:snapToGrid w:val="0"/>
              <w:spacing w:line="340" w:lineRule="atLeast"/>
              <w:jc w:val="center"/>
              <w:rPr>
                <w:rFonts w:hint="eastAsia" w:ascii="黑体" w:hAnsi="黑体" w:eastAsia="黑体" w:cs="黑体"/>
                <w:sz w:val="24"/>
              </w:rPr>
            </w:pPr>
            <w:r>
              <w:rPr>
                <w:rFonts w:hint="eastAsia" w:ascii="黑体" w:hAnsi="黑体" w:eastAsia="黑体" w:cs="黑体"/>
                <w:sz w:val="24"/>
              </w:rPr>
              <w:t>转化</w:t>
            </w:r>
          </w:p>
          <w:p w14:paraId="23CC7420">
            <w:pPr>
              <w:snapToGrid w:val="0"/>
              <w:spacing w:line="340" w:lineRule="atLeast"/>
              <w:jc w:val="center"/>
              <w:rPr>
                <w:rFonts w:hint="eastAsia" w:ascii="黑体" w:hAnsi="黑体" w:eastAsia="黑体" w:cs="黑体"/>
                <w:sz w:val="24"/>
              </w:rPr>
            </w:pPr>
            <w:r>
              <w:rPr>
                <w:rFonts w:hint="eastAsia" w:ascii="黑体" w:hAnsi="黑体" w:eastAsia="黑体" w:cs="黑体"/>
                <w:sz w:val="24"/>
              </w:rPr>
              <w:t>方式</w:t>
            </w:r>
          </w:p>
        </w:tc>
        <w:tc>
          <w:tcPr>
            <w:tcW w:w="1233" w:type="dxa"/>
            <w:vAlign w:val="center"/>
          </w:tcPr>
          <w:p w14:paraId="758FB3A8">
            <w:pPr>
              <w:snapToGrid w:val="0"/>
              <w:spacing w:line="340" w:lineRule="atLeast"/>
              <w:jc w:val="center"/>
              <w:rPr>
                <w:rFonts w:hint="eastAsia" w:ascii="黑体" w:hAnsi="黑体" w:eastAsia="黑体" w:cs="黑体"/>
                <w:sz w:val="24"/>
              </w:rPr>
            </w:pPr>
            <w:r>
              <w:rPr>
                <w:rFonts w:hint="eastAsia" w:ascii="黑体" w:hAnsi="黑体" w:eastAsia="黑体" w:cs="黑体"/>
                <w:sz w:val="24"/>
              </w:rPr>
              <w:t>交易金额（万元）</w:t>
            </w:r>
          </w:p>
        </w:tc>
        <w:tc>
          <w:tcPr>
            <w:tcW w:w="1341" w:type="dxa"/>
            <w:vAlign w:val="center"/>
          </w:tcPr>
          <w:p w14:paraId="24EC318A">
            <w:pPr>
              <w:snapToGrid w:val="0"/>
              <w:spacing w:line="340" w:lineRule="atLeast"/>
              <w:jc w:val="center"/>
              <w:rPr>
                <w:rFonts w:hint="eastAsia" w:ascii="黑体" w:hAnsi="黑体" w:eastAsia="黑体" w:cs="黑体"/>
                <w:sz w:val="24"/>
              </w:rPr>
            </w:pPr>
            <w:r>
              <w:rPr>
                <w:rFonts w:hint="eastAsia" w:ascii="黑体" w:hAnsi="黑体" w:eastAsia="黑体" w:cs="黑体"/>
                <w:sz w:val="24"/>
              </w:rPr>
              <w:t>受让方</w:t>
            </w:r>
          </w:p>
        </w:tc>
        <w:tc>
          <w:tcPr>
            <w:tcW w:w="786" w:type="dxa"/>
            <w:vAlign w:val="center"/>
          </w:tcPr>
          <w:p w14:paraId="14353834">
            <w:pPr>
              <w:snapToGrid w:val="0"/>
              <w:spacing w:line="340" w:lineRule="atLeast"/>
              <w:jc w:val="center"/>
              <w:rPr>
                <w:rFonts w:hint="eastAsia" w:ascii="黑体" w:hAnsi="黑体" w:eastAsia="黑体" w:cs="黑体"/>
                <w:sz w:val="24"/>
              </w:rPr>
            </w:pPr>
            <w:r>
              <w:rPr>
                <w:rFonts w:hint="eastAsia" w:ascii="黑体" w:hAnsi="黑体" w:eastAsia="黑体" w:cs="黑体"/>
                <w:sz w:val="24"/>
              </w:rPr>
              <w:t>备注</w:t>
            </w:r>
          </w:p>
        </w:tc>
      </w:tr>
      <w:tr w14:paraId="6D632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44" w:type="dxa"/>
            <w:vAlign w:val="center"/>
          </w:tcPr>
          <w:p w14:paraId="6C98435C">
            <w:pPr>
              <w:snapToGrid w:val="0"/>
              <w:spacing w:line="480" w:lineRule="auto"/>
              <w:jc w:val="center"/>
              <w:rPr>
                <w:rFonts w:hint="eastAsia" w:ascii="黑体" w:hAnsi="黑体" w:eastAsia="黑体" w:cs="黑体"/>
                <w:sz w:val="24"/>
              </w:rPr>
            </w:pPr>
            <w:r>
              <w:rPr>
                <w:rFonts w:hint="eastAsia" w:ascii="黑体" w:hAnsi="黑体" w:eastAsia="黑体" w:cs="黑体"/>
                <w:sz w:val="24"/>
              </w:rPr>
              <w:t>1</w:t>
            </w:r>
          </w:p>
        </w:tc>
        <w:tc>
          <w:tcPr>
            <w:tcW w:w="2049" w:type="dxa"/>
            <w:vAlign w:val="center"/>
          </w:tcPr>
          <w:p w14:paraId="285D1E9A">
            <w:pPr>
              <w:snapToGrid w:val="0"/>
              <w:spacing w:line="480" w:lineRule="auto"/>
              <w:jc w:val="center"/>
              <w:rPr>
                <w:rFonts w:hint="eastAsia" w:ascii="仿宋" w:hAnsi="仿宋" w:eastAsia="仿宋" w:cs="仿宋"/>
                <w:snapToGrid w:val="0"/>
                <w:color w:val="000000"/>
                <w:spacing w:val="-4"/>
                <w:kern w:val="0"/>
                <w:sz w:val="24"/>
              </w:rPr>
            </w:pPr>
            <w:r>
              <w:rPr>
                <w:rFonts w:ascii="仿宋" w:hAnsi="仿宋" w:eastAsia="仿宋" w:cs="仿宋"/>
                <w:snapToGrid w:val="0"/>
                <w:color w:val="000000"/>
                <w:spacing w:val="-4"/>
                <w:kern w:val="0"/>
                <w:sz w:val="24"/>
              </w:rPr>
              <w:t>一种管箱式一体化热泵海水淡化系统及其工作方法</w:t>
            </w:r>
          </w:p>
        </w:tc>
        <w:tc>
          <w:tcPr>
            <w:tcW w:w="3184" w:type="dxa"/>
            <w:vAlign w:val="center"/>
          </w:tcPr>
          <w:p w14:paraId="176BCF4B">
            <w:pPr>
              <w:spacing w:before="78" w:line="480" w:lineRule="auto"/>
              <w:jc w:val="center"/>
              <w:rPr>
                <w:rFonts w:hint="eastAsia" w:ascii="仿宋" w:hAnsi="仿宋" w:eastAsia="仿宋" w:cs="仿宋"/>
                <w:snapToGrid w:val="0"/>
                <w:color w:val="000000"/>
                <w:spacing w:val="-4"/>
                <w:kern w:val="0"/>
                <w:sz w:val="24"/>
              </w:rPr>
            </w:pPr>
            <w:r>
              <w:rPr>
                <w:rFonts w:ascii="仿宋" w:hAnsi="仿宋" w:eastAsia="仿宋" w:cs="仿宋"/>
                <w:snapToGrid w:val="0"/>
                <w:color w:val="000000"/>
                <w:spacing w:val="-4"/>
                <w:kern w:val="0"/>
                <w:sz w:val="24"/>
              </w:rPr>
              <w:t>本发明将热泵系统的冷凝器置于管箱的蓄水槽中、将热泵系统的蒸发器置于管箱的集水管中，将原有加湿除湿海水淡化系统的储水箱集成到管箱中，实现热泵加湿除湿海水淡化系统管箱式一体化设计，系统能量高，流体流动热量损失小。</w:t>
            </w:r>
          </w:p>
        </w:tc>
        <w:tc>
          <w:tcPr>
            <w:tcW w:w="1966" w:type="dxa"/>
            <w:vAlign w:val="center"/>
          </w:tcPr>
          <w:p w14:paraId="1DFC1F74">
            <w:pPr>
              <w:snapToGrid w:val="0"/>
              <w:spacing w:line="480" w:lineRule="auto"/>
              <w:jc w:val="center"/>
              <w:rPr>
                <w:rFonts w:hint="eastAsia" w:ascii="仿宋" w:hAnsi="仿宋" w:eastAsia="仿宋" w:cs="仿宋"/>
                <w:snapToGrid w:val="0"/>
                <w:color w:val="000000"/>
                <w:spacing w:val="-4"/>
                <w:kern w:val="0"/>
                <w:sz w:val="24"/>
              </w:rPr>
            </w:pPr>
            <w:r>
              <w:rPr>
                <w:rFonts w:hint="eastAsia" w:ascii="仿宋" w:hAnsi="仿宋" w:eastAsia="仿宋"/>
                <w:sz w:val="24"/>
                <w:szCs w:val="32"/>
              </w:rPr>
              <w:t>陈俊杰;秦佳豪;王晓晓;张天慧;张志浩;张芳芳;李国培;张佳伊;钟明胜</w:t>
            </w:r>
          </w:p>
        </w:tc>
        <w:tc>
          <w:tcPr>
            <w:tcW w:w="1445" w:type="dxa"/>
            <w:vAlign w:val="center"/>
          </w:tcPr>
          <w:p w14:paraId="6C4F6940">
            <w:pPr>
              <w:snapToGrid w:val="0"/>
              <w:spacing w:line="480" w:lineRule="auto"/>
              <w:jc w:val="center"/>
              <w:rPr>
                <w:rFonts w:hint="eastAsia"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长期使用权（10年）</w:t>
            </w:r>
          </w:p>
        </w:tc>
        <w:tc>
          <w:tcPr>
            <w:tcW w:w="1289" w:type="dxa"/>
            <w:vAlign w:val="center"/>
          </w:tcPr>
          <w:p w14:paraId="3F5CF3B3">
            <w:pPr>
              <w:spacing w:line="480" w:lineRule="auto"/>
              <w:jc w:val="center"/>
              <w:rPr>
                <w:rFonts w:hint="eastAsia" w:ascii="仿宋" w:hAnsi="仿宋" w:eastAsia="仿宋" w:cs="仿宋"/>
                <w:sz w:val="24"/>
              </w:rPr>
            </w:pPr>
            <w:r>
              <w:rPr>
                <w:rFonts w:hint="eastAsia" w:ascii="仿宋" w:hAnsi="仿宋" w:eastAsia="仿宋" w:cs="仿宋"/>
                <w:sz w:val="24"/>
              </w:rPr>
              <w:t>技术许可</w:t>
            </w:r>
          </w:p>
        </w:tc>
        <w:tc>
          <w:tcPr>
            <w:tcW w:w="1233" w:type="dxa"/>
            <w:vAlign w:val="center"/>
          </w:tcPr>
          <w:p w14:paraId="6BFDFD9B">
            <w:pPr>
              <w:spacing w:line="480" w:lineRule="auto"/>
              <w:jc w:val="center"/>
              <w:rPr>
                <w:rFonts w:hint="eastAsia" w:ascii="仿宋" w:hAnsi="仿宋" w:eastAsia="仿宋" w:cs="仿宋"/>
                <w:sz w:val="24"/>
              </w:rPr>
            </w:pPr>
            <w:r>
              <w:rPr>
                <w:rFonts w:hint="eastAsia" w:ascii="Times New Roman" w:hAnsi="Times New Roman"/>
                <w:color w:val="000000"/>
                <w:szCs w:val="21"/>
                <w:shd w:val="clear" w:color="auto" w:fill="FFFFFF"/>
              </w:rPr>
              <w:t>5</w:t>
            </w:r>
          </w:p>
        </w:tc>
        <w:tc>
          <w:tcPr>
            <w:tcW w:w="1341" w:type="dxa"/>
            <w:vAlign w:val="center"/>
          </w:tcPr>
          <w:p w14:paraId="09F70C83">
            <w:pPr>
              <w:spacing w:line="480" w:lineRule="auto"/>
              <w:jc w:val="center"/>
              <w:rPr>
                <w:rFonts w:hint="eastAsia" w:ascii="仿宋" w:hAnsi="仿宋" w:eastAsia="仿宋" w:cs="仿宋"/>
                <w:snapToGrid w:val="0"/>
                <w:color w:val="000000"/>
                <w:spacing w:val="-3"/>
                <w:kern w:val="0"/>
                <w:sz w:val="24"/>
              </w:rPr>
            </w:pPr>
            <w:r>
              <w:rPr>
                <w:rFonts w:ascii="Times New Roman" w:hAnsi="Times New Roman"/>
              </w:rPr>
              <w:t>河南省博艺生态园林绿化工程有限公司</w:t>
            </w:r>
          </w:p>
        </w:tc>
        <w:tc>
          <w:tcPr>
            <w:tcW w:w="786" w:type="dxa"/>
            <w:vAlign w:val="center"/>
          </w:tcPr>
          <w:p w14:paraId="65A7B1F6">
            <w:pPr>
              <w:spacing w:line="480" w:lineRule="auto"/>
              <w:jc w:val="center"/>
              <w:rPr>
                <w:rFonts w:hint="eastAsia" w:ascii="仿宋" w:hAnsi="仿宋" w:eastAsia="仿宋" w:cs="仿宋"/>
                <w:sz w:val="28"/>
                <w:szCs w:val="28"/>
              </w:rPr>
            </w:pPr>
          </w:p>
        </w:tc>
      </w:tr>
      <w:tr w14:paraId="5C0FE2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544" w:type="dxa"/>
            <w:vAlign w:val="center"/>
          </w:tcPr>
          <w:p w14:paraId="67D4AF1C">
            <w:pPr>
              <w:snapToGrid w:val="0"/>
              <w:spacing w:line="480" w:lineRule="auto"/>
              <w:jc w:val="center"/>
              <w:rPr>
                <w:rFonts w:hint="eastAsia" w:ascii="黑体" w:hAnsi="黑体" w:eastAsia="黑体" w:cs="黑体"/>
                <w:sz w:val="24"/>
              </w:rPr>
            </w:pPr>
          </w:p>
        </w:tc>
        <w:tc>
          <w:tcPr>
            <w:tcW w:w="2049" w:type="dxa"/>
            <w:shd w:val="clear" w:color="auto" w:fill="auto"/>
            <w:vAlign w:val="center"/>
          </w:tcPr>
          <w:p w14:paraId="26AC9EF7">
            <w:pPr>
              <w:tabs>
                <w:tab w:val="left" w:pos="900"/>
              </w:tabs>
              <w:spacing w:line="480" w:lineRule="auto"/>
              <w:jc w:val="center"/>
              <w:rPr>
                <w:rFonts w:hint="eastAsia"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rPr>
              <w:t>一种空气能饮水机</w:t>
            </w:r>
          </w:p>
        </w:tc>
        <w:tc>
          <w:tcPr>
            <w:tcW w:w="3184" w:type="dxa"/>
            <w:shd w:val="clear" w:color="auto" w:fill="auto"/>
            <w:vAlign w:val="center"/>
          </w:tcPr>
          <w:p w14:paraId="7AF65B99">
            <w:pPr>
              <w:tabs>
                <w:tab w:val="left" w:pos="900"/>
              </w:tabs>
              <w:spacing w:line="480" w:lineRule="auto"/>
              <w:jc w:val="center"/>
              <w:rPr>
                <w:rFonts w:hint="eastAsia"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rPr>
              <w:t>本发明实施例公开了一种新型空气能饮水机，用于解决现有空气能饮水机换热效能不高，且仅能提供冷水或热水的问题。本发明实施例中一种新型空气能饮水机，包括：机壳、压缩机、冷凝器、节流阀、蒸发器、进水口、一级热交换器、二级热交换器、开水箱、加热装置、温水箱和冷水箱；所述压缩机、冷凝器、节流阀和蒸发器依次循环连接，并组成制热循环。</w:t>
            </w:r>
          </w:p>
        </w:tc>
        <w:tc>
          <w:tcPr>
            <w:tcW w:w="1966" w:type="dxa"/>
            <w:shd w:val="clear" w:color="auto" w:fill="auto"/>
            <w:vAlign w:val="center"/>
          </w:tcPr>
          <w:p w14:paraId="555B1DB6">
            <w:pPr>
              <w:snapToGrid w:val="0"/>
              <w:spacing w:line="480" w:lineRule="auto"/>
              <w:jc w:val="center"/>
              <w:rPr>
                <w:rFonts w:hint="eastAsia" w:ascii="仿宋" w:hAnsi="仿宋" w:eastAsia="仿宋" w:cs="仿宋"/>
                <w:snapToGrid w:val="0"/>
                <w:color w:val="000000"/>
                <w:spacing w:val="-4"/>
                <w:kern w:val="0"/>
                <w:sz w:val="24"/>
                <w:szCs w:val="24"/>
                <w:lang w:val="en-US" w:eastAsia="zh-CN" w:bidi="ar-SA"/>
              </w:rPr>
            </w:pPr>
            <w:r>
              <w:rPr>
                <w:rFonts w:hint="eastAsia" w:ascii="仿宋" w:hAnsi="仿宋" w:eastAsia="仿宋" w:cs="仿宋"/>
                <w:sz w:val="24"/>
              </w:rPr>
              <w:t>李改莲、金听祥、吴彦生、杨庆、董明伦、马驰、尹良俊、刘交通</w:t>
            </w:r>
          </w:p>
        </w:tc>
        <w:tc>
          <w:tcPr>
            <w:tcW w:w="1445" w:type="dxa"/>
            <w:shd w:val="clear" w:color="auto" w:fill="auto"/>
            <w:vAlign w:val="center"/>
          </w:tcPr>
          <w:p w14:paraId="086AF69B">
            <w:pPr>
              <w:snapToGrid w:val="0"/>
              <w:spacing w:line="480" w:lineRule="auto"/>
              <w:jc w:val="center"/>
              <w:rPr>
                <w:rFonts w:hint="eastAsia" w:ascii="仿宋" w:hAnsi="仿宋" w:eastAsia="仿宋" w:cs="仿宋"/>
                <w:snapToGrid w:val="0"/>
                <w:color w:val="000000"/>
                <w:spacing w:val="-4"/>
                <w:kern w:val="0"/>
                <w:sz w:val="24"/>
                <w:szCs w:val="24"/>
                <w:lang w:val="en-US" w:eastAsia="zh-CN" w:bidi="ar-SA"/>
              </w:rPr>
            </w:pPr>
            <w:r>
              <w:rPr>
                <w:rFonts w:ascii="仿宋" w:hAnsi="仿宋" w:eastAsia="仿宋" w:cs="仿宋"/>
                <w:snapToGrid w:val="0"/>
                <w:color w:val="000000"/>
                <w:spacing w:val="-4"/>
                <w:kern w:val="0"/>
                <w:sz w:val="24"/>
              </w:rPr>
              <w:t>所有权</w:t>
            </w:r>
            <w:r>
              <w:rPr>
                <w:rFonts w:hint="eastAsia" w:ascii="仿宋" w:hAnsi="仿宋" w:eastAsia="仿宋" w:cs="仿宋"/>
                <w:snapToGrid w:val="0"/>
                <w:color w:val="000000"/>
                <w:spacing w:val="-4"/>
                <w:kern w:val="0"/>
                <w:sz w:val="24"/>
                <w:lang w:eastAsia="zh-CN"/>
              </w:rPr>
              <w:t>（学校</w:t>
            </w:r>
            <w:r>
              <w:rPr>
                <w:rFonts w:hint="eastAsia" w:ascii="仿宋" w:hAnsi="仿宋" w:eastAsia="仿宋" w:cs="仿宋"/>
                <w:snapToGrid w:val="0"/>
                <w:color w:val="000000"/>
                <w:spacing w:val="-4"/>
                <w:kern w:val="0"/>
                <w:sz w:val="24"/>
                <w:lang w:val="en-US" w:eastAsia="zh-CN"/>
              </w:rPr>
              <w:t>10%，完成人团队90%</w:t>
            </w:r>
            <w:r>
              <w:rPr>
                <w:rFonts w:hint="eastAsia" w:ascii="仿宋" w:hAnsi="仿宋" w:eastAsia="仿宋" w:cs="仿宋"/>
                <w:snapToGrid w:val="0"/>
                <w:color w:val="000000"/>
                <w:spacing w:val="-4"/>
                <w:kern w:val="0"/>
                <w:sz w:val="24"/>
                <w:lang w:eastAsia="zh-CN"/>
              </w:rPr>
              <w:t>）</w:t>
            </w:r>
          </w:p>
        </w:tc>
        <w:tc>
          <w:tcPr>
            <w:tcW w:w="1289" w:type="dxa"/>
            <w:shd w:val="clear" w:color="auto" w:fill="auto"/>
            <w:vAlign w:val="center"/>
          </w:tcPr>
          <w:p w14:paraId="3FF69DD7">
            <w:pPr>
              <w:spacing w:line="480" w:lineRule="auto"/>
              <w:jc w:val="center"/>
              <w:rPr>
                <w:rFonts w:hint="eastAsia" w:ascii="仿宋" w:hAnsi="仿宋" w:eastAsia="仿宋" w:cs="仿宋"/>
                <w:sz w:val="24"/>
              </w:rPr>
            </w:pPr>
            <w:r>
              <w:rPr>
                <w:rFonts w:hint="eastAsia" w:ascii="仿宋" w:hAnsi="仿宋" w:eastAsia="仿宋" w:cs="仿宋"/>
                <w:sz w:val="24"/>
                <w:lang w:eastAsia="zh-CN"/>
              </w:rPr>
              <w:t>技术</w:t>
            </w:r>
            <w:r>
              <w:rPr>
                <w:rFonts w:hint="eastAsia" w:ascii="仿宋" w:hAnsi="仿宋" w:eastAsia="仿宋" w:cs="仿宋"/>
                <w:sz w:val="24"/>
              </w:rPr>
              <w:t>转让</w:t>
            </w:r>
          </w:p>
          <w:p w14:paraId="7FCF481E">
            <w:pPr>
              <w:spacing w:line="480" w:lineRule="auto"/>
              <w:jc w:val="center"/>
              <w:rPr>
                <w:rFonts w:hint="eastAsia" w:ascii="仿宋" w:hAnsi="仿宋" w:eastAsia="仿宋" w:cs="仿宋"/>
                <w:kern w:val="2"/>
                <w:sz w:val="24"/>
                <w:szCs w:val="24"/>
                <w:lang w:val="en-US" w:eastAsia="zh-CN" w:bidi="ar-SA"/>
              </w:rPr>
            </w:pPr>
          </w:p>
        </w:tc>
        <w:tc>
          <w:tcPr>
            <w:tcW w:w="1233" w:type="dxa"/>
            <w:vAlign w:val="center"/>
          </w:tcPr>
          <w:p w14:paraId="784267E0">
            <w:pPr>
              <w:spacing w:line="480" w:lineRule="auto"/>
              <w:jc w:val="center"/>
              <w:rPr>
                <w:rFonts w:hint="default" w:ascii="Times New Roman" w:hAnsi="Times New Roman" w:eastAsia="宋体"/>
                <w:color w:val="000000"/>
                <w:szCs w:val="21"/>
                <w:shd w:val="clear" w:color="auto" w:fill="FFFFFF"/>
                <w:lang w:val="en-US" w:eastAsia="zh-CN"/>
              </w:rPr>
            </w:pPr>
            <w:r>
              <w:rPr>
                <w:rFonts w:hint="eastAsia" w:ascii="Times New Roman" w:hAnsi="Times New Roman"/>
                <w:color w:val="000000"/>
                <w:szCs w:val="21"/>
                <w:shd w:val="clear" w:color="auto" w:fill="FFFFFF"/>
                <w:lang w:val="en-US" w:eastAsia="zh-CN"/>
              </w:rPr>
              <w:t>40</w:t>
            </w:r>
          </w:p>
        </w:tc>
        <w:tc>
          <w:tcPr>
            <w:tcW w:w="1341" w:type="dxa"/>
            <w:vAlign w:val="center"/>
          </w:tcPr>
          <w:p w14:paraId="42E84FB1">
            <w:pPr>
              <w:spacing w:line="480" w:lineRule="auto"/>
              <w:jc w:val="center"/>
              <w:rPr>
                <w:rFonts w:ascii="Times New Roman" w:hAnsi="Times New Roman"/>
              </w:rPr>
            </w:pPr>
            <w:r>
              <w:rPr>
                <w:rFonts w:hint="eastAsia" w:ascii="仿宋" w:hAnsi="仿宋" w:eastAsia="仿宋" w:cs="仿宋"/>
                <w:snapToGrid w:val="0"/>
                <w:color w:val="000000"/>
                <w:spacing w:val="-4"/>
                <w:kern w:val="0"/>
                <w:sz w:val="24"/>
              </w:rPr>
              <w:t>霖润建设有限公司</w:t>
            </w:r>
          </w:p>
        </w:tc>
        <w:tc>
          <w:tcPr>
            <w:tcW w:w="786" w:type="dxa"/>
            <w:vAlign w:val="center"/>
          </w:tcPr>
          <w:p w14:paraId="2525FA89">
            <w:pPr>
              <w:spacing w:line="480" w:lineRule="auto"/>
              <w:jc w:val="center"/>
              <w:rPr>
                <w:rFonts w:hint="eastAsia" w:ascii="仿宋" w:hAnsi="仿宋" w:eastAsia="仿宋" w:cs="仿宋"/>
                <w:sz w:val="28"/>
                <w:szCs w:val="28"/>
              </w:rPr>
            </w:pPr>
          </w:p>
        </w:tc>
      </w:tr>
      <w:tr w14:paraId="15178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trPr>
        <w:tc>
          <w:tcPr>
            <w:tcW w:w="544" w:type="dxa"/>
            <w:vAlign w:val="center"/>
          </w:tcPr>
          <w:p w14:paraId="2F35CD93">
            <w:pPr>
              <w:snapToGrid w:val="0"/>
              <w:spacing w:line="480" w:lineRule="auto"/>
              <w:jc w:val="center"/>
              <w:rPr>
                <w:rFonts w:hint="eastAsia" w:ascii="黑体" w:hAnsi="黑体" w:eastAsia="黑体" w:cs="黑体"/>
                <w:sz w:val="24"/>
              </w:rPr>
            </w:pPr>
          </w:p>
        </w:tc>
        <w:tc>
          <w:tcPr>
            <w:tcW w:w="2049" w:type="dxa"/>
            <w:shd w:val="clear" w:color="auto" w:fill="auto"/>
            <w:vAlign w:val="center"/>
          </w:tcPr>
          <w:p w14:paraId="05043D9A">
            <w:pPr>
              <w:spacing w:line="480" w:lineRule="auto"/>
              <w:jc w:val="center"/>
              <w:rPr>
                <w:rFonts w:hint="eastAsia"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rPr>
              <w:t>一种中央空调冷却水智能处理方法及其系统</w:t>
            </w:r>
          </w:p>
        </w:tc>
        <w:tc>
          <w:tcPr>
            <w:tcW w:w="3184" w:type="dxa"/>
            <w:shd w:val="clear" w:color="auto" w:fill="auto"/>
            <w:vAlign w:val="center"/>
          </w:tcPr>
          <w:p w14:paraId="5940FDA8">
            <w:pPr>
              <w:spacing w:line="480" w:lineRule="auto"/>
              <w:ind w:firstLine="348" w:firstLineChars="150"/>
              <w:jc w:val="center"/>
              <w:rPr>
                <w:rFonts w:hint="eastAsia"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rPr>
              <w:t>本发明提供一种中央空调冷却水智能处理方法及其系统，其通过采用相应的传感器来实时采集冷却水换热管内的水质参数并将采集的数据结果反馈至服务器，进行数据分析处理，服务器根据数据的分析结果进而控制是否进行除垢动作。在对冷却水换热管进行除垢操作后，还对冷却水换热管内的水质进行酸碱中和并实时检测水质的酸碱度，从而控制何时中断中和操作，实现精确控制向冷却水换热管中药剂添加量；此外，本方案还通过对除垢后冷却水换热管内的水质进行压力检测来判断是否需要对换热器进行清洗。由于上述整个过程自动化程度高，实时对冷却水换热管进行数据采集，因此冷却水换热器可以长期保持正常的酸碱度值，最大程度的减少腐蚀现象的发生。</w:t>
            </w:r>
          </w:p>
        </w:tc>
        <w:tc>
          <w:tcPr>
            <w:tcW w:w="1966" w:type="dxa"/>
            <w:shd w:val="clear" w:color="auto" w:fill="auto"/>
            <w:vAlign w:val="center"/>
          </w:tcPr>
          <w:p w14:paraId="657EE3C9">
            <w:pPr>
              <w:spacing w:line="480" w:lineRule="auto"/>
              <w:jc w:val="center"/>
              <w:rPr>
                <w:rFonts w:hint="eastAsia" w:ascii="仿宋" w:hAnsi="仿宋" w:eastAsia="仿宋" w:cs="仿宋"/>
                <w:snapToGrid w:val="0"/>
                <w:color w:val="000000"/>
                <w:spacing w:val="-4"/>
                <w:kern w:val="0"/>
                <w:sz w:val="24"/>
                <w:szCs w:val="24"/>
                <w:lang w:val="en-US" w:eastAsia="zh-CN" w:bidi="ar-SA"/>
              </w:rPr>
            </w:pPr>
            <w:r>
              <w:rPr>
                <w:rFonts w:hint="eastAsia" w:ascii="仿宋" w:hAnsi="仿宋" w:eastAsia="仿宋" w:cs="仿宋"/>
                <w:sz w:val="24"/>
              </w:rPr>
              <w:t>李改莲、金听祥</w:t>
            </w:r>
          </w:p>
        </w:tc>
        <w:tc>
          <w:tcPr>
            <w:tcW w:w="1445" w:type="dxa"/>
            <w:shd w:val="clear" w:color="auto" w:fill="auto"/>
            <w:vAlign w:val="center"/>
          </w:tcPr>
          <w:p w14:paraId="7337750D">
            <w:pPr>
              <w:snapToGrid w:val="0"/>
              <w:spacing w:line="480" w:lineRule="auto"/>
              <w:jc w:val="center"/>
              <w:rPr>
                <w:rFonts w:hint="eastAsia" w:ascii="仿宋" w:hAnsi="仿宋" w:eastAsia="仿宋" w:cs="仿宋"/>
                <w:snapToGrid w:val="0"/>
                <w:color w:val="000000"/>
                <w:spacing w:val="-4"/>
                <w:kern w:val="0"/>
                <w:sz w:val="24"/>
                <w:szCs w:val="24"/>
                <w:lang w:val="en-US" w:eastAsia="zh-CN" w:bidi="ar-SA"/>
              </w:rPr>
            </w:pPr>
            <w:r>
              <w:rPr>
                <w:rFonts w:ascii="仿宋" w:hAnsi="仿宋" w:eastAsia="仿宋" w:cs="仿宋"/>
                <w:snapToGrid w:val="0"/>
                <w:color w:val="000000"/>
                <w:spacing w:val="-4"/>
                <w:kern w:val="0"/>
                <w:sz w:val="24"/>
              </w:rPr>
              <w:t>所有权</w:t>
            </w:r>
            <w:r>
              <w:rPr>
                <w:rFonts w:hint="eastAsia" w:ascii="仿宋" w:hAnsi="仿宋" w:eastAsia="仿宋" w:cs="仿宋"/>
                <w:snapToGrid w:val="0"/>
                <w:color w:val="000000"/>
                <w:spacing w:val="-4"/>
                <w:kern w:val="0"/>
                <w:sz w:val="24"/>
                <w:lang w:eastAsia="zh-CN"/>
              </w:rPr>
              <w:t>（学校</w:t>
            </w:r>
            <w:r>
              <w:rPr>
                <w:rFonts w:hint="eastAsia" w:ascii="仿宋" w:hAnsi="仿宋" w:eastAsia="仿宋" w:cs="仿宋"/>
                <w:snapToGrid w:val="0"/>
                <w:color w:val="000000"/>
                <w:spacing w:val="-4"/>
                <w:kern w:val="0"/>
                <w:sz w:val="24"/>
                <w:lang w:val="en-US" w:eastAsia="zh-CN"/>
              </w:rPr>
              <w:t>10%，完成人团队90%</w:t>
            </w:r>
            <w:r>
              <w:rPr>
                <w:rFonts w:hint="eastAsia" w:ascii="仿宋" w:hAnsi="仿宋" w:eastAsia="仿宋" w:cs="仿宋"/>
                <w:snapToGrid w:val="0"/>
                <w:color w:val="000000"/>
                <w:spacing w:val="-4"/>
                <w:kern w:val="0"/>
                <w:sz w:val="24"/>
                <w:lang w:eastAsia="zh-CN"/>
              </w:rPr>
              <w:t>）</w:t>
            </w:r>
          </w:p>
        </w:tc>
        <w:tc>
          <w:tcPr>
            <w:tcW w:w="1289" w:type="dxa"/>
            <w:shd w:val="clear" w:color="auto" w:fill="auto"/>
            <w:vAlign w:val="center"/>
          </w:tcPr>
          <w:p w14:paraId="7DFC46C3">
            <w:pPr>
              <w:spacing w:line="480" w:lineRule="auto"/>
              <w:jc w:val="center"/>
              <w:rPr>
                <w:rFonts w:hint="eastAsia" w:ascii="仿宋" w:hAnsi="仿宋" w:eastAsia="仿宋" w:cs="仿宋"/>
                <w:sz w:val="24"/>
              </w:rPr>
            </w:pPr>
            <w:r>
              <w:rPr>
                <w:rFonts w:hint="eastAsia" w:ascii="仿宋" w:hAnsi="仿宋" w:eastAsia="仿宋" w:cs="仿宋"/>
                <w:sz w:val="24"/>
                <w:lang w:eastAsia="zh-CN"/>
              </w:rPr>
              <w:t>技术</w:t>
            </w:r>
            <w:r>
              <w:rPr>
                <w:rFonts w:hint="eastAsia" w:ascii="仿宋" w:hAnsi="仿宋" w:eastAsia="仿宋" w:cs="仿宋"/>
                <w:sz w:val="24"/>
              </w:rPr>
              <w:t>转让</w:t>
            </w:r>
          </w:p>
          <w:p w14:paraId="6BFB5DF4">
            <w:pPr>
              <w:spacing w:line="480" w:lineRule="auto"/>
              <w:jc w:val="center"/>
              <w:rPr>
                <w:rFonts w:hint="eastAsia" w:ascii="仿宋" w:hAnsi="仿宋" w:eastAsia="仿宋" w:cs="仿宋"/>
                <w:kern w:val="2"/>
                <w:sz w:val="24"/>
                <w:szCs w:val="24"/>
                <w:lang w:val="en-US" w:eastAsia="zh-CN" w:bidi="ar-SA"/>
              </w:rPr>
            </w:pPr>
          </w:p>
        </w:tc>
        <w:tc>
          <w:tcPr>
            <w:tcW w:w="1233" w:type="dxa"/>
            <w:vAlign w:val="center"/>
          </w:tcPr>
          <w:p w14:paraId="603317E4">
            <w:pPr>
              <w:spacing w:line="480" w:lineRule="auto"/>
              <w:jc w:val="center"/>
              <w:rPr>
                <w:rFonts w:hint="default" w:ascii="Times New Roman" w:hAnsi="Times New Roman" w:eastAsia="宋体"/>
                <w:color w:val="000000"/>
                <w:szCs w:val="21"/>
                <w:shd w:val="clear" w:color="auto" w:fill="FFFFFF"/>
                <w:lang w:val="en-US" w:eastAsia="zh-CN"/>
              </w:rPr>
            </w:pPr>
            <w:r>
              <w:rPr>
                <w:rFonts w:hint="eastAsia" w:ascii="Times New Roman" w:hAnsi="Times New Roman"/>
                <w:color w:val="000000"/>
                <w:szCs w:val="21"/>
                <w:shd w:val="clear" w:color="auto" w:fill="FFFFFF"/>
                <w:lang w:val="en-US" w:eastAsia="zh-CN"/>
              </w:rPr>
              <w:t>40</w:t>
            </w:r>
          </w:p>
        </w:tc>
        <w:tc>
          <w:tcPr>
            <w:tcW w:w="1341" w:type="dxa"/>
            <w:vAlign w:val="center"/>
          </w:tcPr>
          <w:p w14:paraId="1D3A12E3">
            <w:pPr>
              <w:spacing w:line="480" w:lineRule="auto"/>
              <w:jc w:val="center"/>
              <w:rPr>
                <w:rFonts w:ascii="Times New Roman" w:hAnsi="Times New Roman"/>
              </w:rPr>
            </w:pPr>
            <w:r>
              <w:rPr>
                <w:rFonts w:hint="eastAsia" w:ascii="仿宋" w:hAnsi="仿宋" w:eastAsia="仿宋" w:cs="仿宋"/>
                <w:snapToGrid w:val="0"/>
                <w:color w:val="000000"/>
                <w:spacing w:val="-4"/>
                <w:kern w:val="0"/>
                <w:sz w:val="24"/>
              </w:rPr>
              <w:t>霖润建设有限公司</w:t>
            </w:r>
          </w:p>
        </w:tc>
        <w:tc>
          <w:tcPr>
            <w:tcW w:w="786" w:type="dxa"/>
            <w:vAlign w:val="center"/>
          </w:tcPr>
          <w:p w14:paraId="39663CC1">
            <w:pPr>
              <w:spacing w:line="480" w:lineRule="auto"/>
              <w:jc w:val="center"/>
              <w:rPr>
                <w:rFonts w:hint="eastAsia" w:ascii="仿宋" w:hAnsi="仿宋" w:eastAsia="仿宋" w:cs="仿宋"/>
                <w:sz w:val="28"/>
                <w:szCs w:val="28"/>
              </w:rPr>
            </w:pPr>
          </w:p>
        </w:tc>
      </w:tr>
      <w:tr w14:paraId="58FB0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4A105FAC">
            <w:pPr>
              <w:snapToGrid w:val="0"/>
              <w:spacing w:line="480" w:lineRule="auto"/>
              <w:jc w:val="center"/>
              <w:rPr>
                <w:rFonts w:hint="eastAsia" w:ascii="黑体" w:hAnsi="黑体" w:eastAsia="黑体" w:cs="黑体"/>
                <w:sz w:val="24"/>
              </w:rPr>
            </w:pPr>
          </w:p>
        </w:tc>
        <w:tc>
          <w:tcPr>
            <w:tcW w:w="2049" w:type="dxa"/>
            <w:shd w:val="clear" w:color="auto" w:fill="auto"/>
            <w:vAlign w:val="center"/>
          </w:tcPr>
          <w:p w14:paraId="18B281B9">
            <w:pPr>
              <w:tabs>
                <w:tab w:val="left" w:pos="900"/>
              </w:tabs>
              <w:spacing w:line="480" w:lineRule="auto"/>
              <w:jc w:val="center"/>
              <w:rPr>
                <w:rFonts w:hint="eastAsia"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rPr>
              <w:t>一种中央空调制冷量智能分配系统</w:t>
            </w:r>
          </w:p>
        </w:tc>
        <w:tc>
          <w:tcPr>
            <w:tcW w:w="3184" w:type="dxa"/>
            <w:shd w:val="clear" w:color="auto" w:fill="auto"/>
            <w:vAlign w:val="center"/>
          </w:tcPr>
          <w:p w14:paraId="234B1B94">
            <w:pPr>
              <w:spacing w:line="480" w:lineRule="auto"/>
              <w:ind w:firstLine="348" w:firstLineChars="150"/>
              <w:jc w:val="center"/>
              <w:rPr>
                <w:rFonts w:hint="eastAsia"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本发明提供一种中央空调制冷量智能分配方法，其包括以下步骤：S1、云服务器对接受来自用户需求信息、室内温度检测数据信息和室外温度检测数据信息进行综合分析并形成能够满足用户需要的控制信息；S2、空调主机接受云服务器发出的控制信息，进而控制冷媒管道中的冷媒流动数量以便满足用户需求；本方案通过云服务器、移动通信终端、室内温度数据采集器、室外温度数据采集器以及带有显示器控制接受模块的显示器等设备来实现中央空调可以依据用户的使用需要和结合用户室内温湿度和室外温湿度来进行综合调节分析，以便在满足用户使用需求的前提下，尽最大限度地节约空调资源。</w:t>
            </w:r>
          </w:p>
          <w:p w14:paraId="1EADBC64">
            <w:pPr>
              <w:tabs>
                <w:tab w:val="left" w:pos="900"/>
              </w:tabs>
              <w:spacing w:line="480" w:lineRule="auto"/>
              <w:jc w:val="center"/>
              <w:rPr>
                <w:rFonts w:hint="eastAsia" w:ascii="仿宋" w:hAnsi="仿宋" w:eastAsia="仿宋" w:cs="仿宋"/>
                <w:snapToGrid w:val="0"/>
                <w:color w:val="000000"/>
                <w:spacing w:val="-4"/>
                <w:kern w:val="0"/>
                <w:sz w:val="24"/>
                <w:szCs w:val="24"/>
                <w:lang w:val="en-US" w:eastAsia="zh-CN" w:bidi="ar-SA"/>
              </w:rPr>
            </w:pPr>
          </w:p>
        </w:tc>
        <w:tc>
          <w:tcPr>
            <w:tcW w:w="1966" w:type="dxa"/>
            <w:shd w:val="clear" w:color="auto" w:fill="auto"/>
            <w:vAlign w:val="center"/>
          </w:tcPr>
          <w:p w14:paraId="6DB4D192">
            <w:pPr>
              <w:tabs>
                <w:tab w:val="left" w:pos="900"/>
              </w:tabs>
              <w:spacing w:line="480" w:lineRule="auto"/>
              <w:jc w:val="center"/>
              <w:rPr>
                <w:rFonts w:hint="eastAsia" w:ascii="仿宋" w:hAnsi="仿宋" w:eastAsia="仿宋" w:cs="仿宋"/>
                <w:snapToGrid w:val="0"/>
                <w:color w:val="000000"/>
                <w:spacing w:val="-4"/>
                <w:kern w:val="0"/>
                <w:sz w:val="24"/>
                <w:szCs w:val="24"/>
                <w:lang w:val="en-US" w:eastAsia="zh-CN" w:bidi="ar-SA"/>
              </w:rPr>
            </w:pPr>
            <w:r>
              <w:rPr>
                <w:rFonts w:hint="eastAsia" w:ascii="仿宋" w:hAnsi="仿宋" w:eastAsia="仿宋" w:cs="仿宋"/>
                <w:sz w:val="24"/>
              </w:rPr>
              <w:t>金听祥、李改莲</w:t>
            </w:r>
          </w:p>
        </w:tc>
        <w:tc>
          <w:tcPr>
            <w:tcW w:w="1445" w:type="dxa"/>
            <w:shd w:val="clear" w:color="auto" w:fill="auto"/>
            <w:vAlign w:val="center"/>
          </w:tcPr>
          <w:p w14:paraId="0EFC1FBE">
            <w:pPr>
              <w:snapToGrid w:val="0"/>
              <w:spacing w:line="480" w:lineRule="auto"/>
              <w:jc w:val="center"/>
              <w:rPr>
                <w:rFonts w:hint="eastAsia" w:ascii="仿宋" w:hAnsi="仿宋" w:eastAsia="仿宋" w:cs="仿宋"/>
                <w:snapToGrid w:val="0"/>
                <w:color w:val="000000"/>
                <w:spacing w:val="-4"/>
                <w:kern w:val="0"/>
                <w:sz w:val="24"/>
                <w:szCs w:val="24"/>
                <w:lang w:val="en-US" w:eastAsia="zh-CN" w:bidi="ar-SA"/>
              </w:rPr>
            </w:pPr>
            <w:r>
              <w:rPr>
                <w:rFonts w:ascii="仿宋" w:hAnsi="仿宋" w:eastAsia="仿宋" w:cs="仿宋"/>
                <w:snapToGrid w:val="0"/>
                <w:color w:val="000000"/>
                <w:spacing w:val="-4"/>
                <w:kern w:val="0"/>
                <w:sz w:val="24"/>
              </w:rPr>
              <w:t>所有权</w:t>
            </w:r>
            <w:r>
              <w:rPr>
                <w:rFonts w:hint="eastAsia" w:ascii="仿宋" w:hAnsi="仿宋" w:eastAsia="仿宋" w:cs="仿宋"/>
                <w:snapToGrid w:val="0"/>
                <w:color w:val="000000"/>
                <w:spacing w:val="-4"/>
                <w:kern w:val="0"/>
                <w:sz w:val="24"/>
                <w:lang w:eastAsia="zh-CN"/>
              </w:rPr>
              <w:t>（学校</w:t>
            </w:r>
            <w:r>
              <w:rPr>
                <w:rFonts w:hint="eastAsia" w:ascii="仿宋" w:hAnsi="仿宋" w:eastAsia="仿宋" w:cs="仿宋"/>
                <w:snapToGrid w:val="0"/>
                <w:color w:val="000000"/>
                <w:spacing w:val="-4"/>
                <w:kern w:val="0"/>
                <w:sz w:val="24"/>
                <w:lang w:val="en-US" w:eastAsia="zh-CN"/>
              </w:rPr>
              <w:t>10%，完成人团队90%</w:t>
            </w:r>
            <w:r>
              <w:rPr>
                <w:rFonts w:hint="eastAsia" w:ascii="仿宋" w:hAnsi="仿宋" w:eastAsia="仿宋" w:cs="仿宋"/>
                <w:snapToGrid w:val="0"/>
                <w:color w:val="000000"/>
                <w:spacing w:val="-4"/>
                <w:kern w:val="0"/>
                <w:sz w:val="24"/>
                <w:lang w:eastAsia="zh-CN"/>
              </w:rPr>
              <w:t>）</w:t>
            </w:r>
          </w:p>
        </w:tc>
        <w:tc>
          <w:tcPr>
            <w:tcW w:w="1289" w:type="dxa"/>
            <w:shd w:val="clear" w:color="auto" w:fill="auto"/>
            <w:vAlign w:val="center"/>
          </w:tcPr>
          <w:p w14:paraId="3777C01D">
            <w:pPr>
              <w:spacing w:line="480" w:lineRule="auto"/>
              <w:jc w:val="center"/>
              <w:rPr>
                <w:rFonts w:hint="eastAsia" w:ascii="仿宋" w:hAnsi="仿宋" w:eastAsia="仿宋" w:cs="仿宋"/>
                <w:sz w:val="24"/>
              </w:rPr>
            </w:pPr>
            <w:r>
              <w:rPr>
                <w:rFonts w:hint="eastAsia" w:ascii="仿宋" w:hAnsi="仿宋" w:eastAsia="仿宋" w:cs="仿宋"/>
                <w:sz w:val="24"/>
                <w:lang w:eastAsia="zh-CN"/>
              </w:rPr>
              <w:t>技术</w:t>
            </w:r>
            <w:r>
              <w:rPr>
                <w:rFonts w:hint="eastAsia" w:ascii="仿宋" w:hAnsi="仿宋" w:eastAsia="仿宋" w:cs="仿宋"/>
                <w:sz w:val="24"/>
              </w:rPr>
              <w:t>转让</w:t>
            </w:r>
          </w:p>
          <w:p w14:paraId="18421E84">
            <w:pPr>
              <w:spacing w:line="480" w:lineRule="auto"/>
              <w:jc w:val="center"/>
              <w:rPr>
                <w:rFonts w:hint="eastAsia" w:ascii="仿宋" w:hAnsi="仿宋" w:eastAsia="仿宋" w:cs="仿宋"/>
                <w:snapToGrid w:val="0"/>
                <w:color w:val="000000"/>
                <w:spacing w:val="-4"/>
                <w:kern w:val="0"/>
                <w:sz w:val="24"/>
                <w:szCs w:val="24"/>
                <w:lang w:val="en-US" w:eastAsia="zh-CN" w:bidi="ar-SA"/>
              </w:rPr>
            </w:pPr>
          </w:p>
        </w:tc>
        <w:tc>
          <w:tcPr>
            <w:tcW w:w="1233" w:type="dxa"/>
            <w:vAlign w:val="center"/>
          </w:tcPr>
          <w:p w14:paraId="2475B545">
            <w:pPr>
              <w:spacing w:line="480" w:lineRule="auto"/>
              <w:jc w:val="center"/>
              <w:rPr>
                <w:rFonts w:hint="default" w:ascii="Times New Roman" w:hAnsi="Times New Roman" w:eastAsia="宋体"/>
                <w:color w:val="000000"/>
                <w:szCs w:val="21"/>
                <w:shd w:val="clear" w:color="auto" w:fill="FFFFFF"/>
                <w:lang w:val="en-US" w:eastAsia="zh-CN"/>
              </w:rPr>
            </w:pPr>
            <w:r>
              <w:rPr>
                <w:rFonts w:hint="eastAsia" w:ascii="Times New Roman" w:hAnsi="Times New Roman"/>
                <w:color w:val="000000"/>
                <w:szCs w:val="21"/>
                <w:shd w:val="clear" w:color="auto" w:fill="FFFFFF"/>
                <w:lang w:val="en-US" w:eastAsia="zh-CN"/>
              </w:rPr>
              <w:t>40</w:t>
            </w:r>
          </w:p>
        </w:tc>
        <w:tc>
          <w:tcPr>
            <w:tcW w:w="1341" w:type="dxa"/>
            <w:vAlign w:val="center"/>
          </w:tcPr>
          <w:p w14:paraId="1E9AF1C3">
            <w:pPr>
              <w:spacing w:line="480" w:lineRule="auto"/>
              <w:jc w:val="center"/>
              <w:rPr>
                <w:rFonts w:ascii="Times New Roman" w:hAnsi="Times New Roman"/>
              </w:rPr>
            </w:pPr>
            <w:r>
              <w:rPr>
                <w:rFonts w:hint="eastAsia" w:ascii="仿宋" w:hAnsi="仿宋" w:eastAsia="仿宋" w:cs="仿宋"/>
                <w:snapToGrid w:val="0"/>
                <w:color w:val="000000"/>
                <w:spacing w:val="-4"/>
                <w:kern w:val="0"/>
                <w:sz w:val="24"/>
              </w:rPr>
              <w:t>霖润建设有限公司</w:t>
            </w:r>
          </w:p>
        </w:tc>
        <w:tc>
          <w:tcPr>
            <w:tcW w:w="786" w:type="dxa"/>
            <w:vAlign w:val="center"/>
          </w:tcPr>
          <w:p w14:paraId="21463C6E">
            <w:pPr>
              <w:spacing w:line="480" w:lineRule="auto"/>
              <w:jc w:val="center"/>
              <w:rPr>
                <w:rFonts w:hint="eastAsia" w:ascii="仿宋" w:hAnsi="仿宋" w:eastAsia="仿宋" w:cs="仿宋"/>
                <w:sz w:val="28"/>
                <w:szCs w:val="28"/>
              </w:rPr>
            </w:pPr>
          </w:p>
        </w:tc>
      </w:tr>
    </w:tbl>
    <w:p w14:paraId="6573CF70">
      <w:pPr>
        <w:spacing w:line="480" w:lineRule="auto"/>
        <w:jc w:val="cente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1ZmM5M2NiYzViNjc4ZWU1ODNmMjFmYjE5YjlkNzIifQ=="/>
  </w:docVars>
  <w:rsids>
    <w:rsidRoot w:val="1308507D"/>
    <w:rsid w:val="000274FC"/>
    <w:rsid w:val="00105AA3"/>
    <w:rsid w:val="00344C4C"/>
    <w:rsid w:val="003F29B4"/>
    <w:rsid w:val="00414E9C"/>
    <w:rsid w:val="0050572B"/>
    <w:rsid w:val="007F52E6"/>
    <w:rsid w:val="00834364"/>
    <w:rsid w:val="008A010C"/>
    <w:rsid w:val="008D080A"/>
    <w:rsid w:val="00964C50"/>
    <w:rsid w:val="009F51F2"/>
    <w:rsid w:val="009F7501"/>
    <w:rsid w:val="00AE4CD9"/>
    <w:rsid w:val="00B951BF"/>
    <w:rsid w:val="00C52569"/>
    <w:rsid w:val="00CE0A72"/>
    <w:rsid w:val="0F2B62DD"/>
    <w:rsid w:val="1308507D"/>
    <w:rsid w:val="27E4630B"/>
    <w:rsid w:val="415E2C8C"/>
    <w:rsid w:val="41B42055"/>
    <w:rsid w:val="50D852D8"/>
    <w:rsid w:val="58406388"/>
    <w:rsid w:val="74D65C00"/>
    <w:rsid w:val="787023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tabs>
        <w:tab w:val="center" w:pos="4153"/>
        <w:tab w:val="right" w:pos="8306"/>
      </w:tabs>
      <w:snapToGrid w:val="0"/>
      <w:jc w:val="center"/>
    </w:pPr>
    <w:rPr>
      <w:sz w:val="18"/>
      <w:szCs w:val="18"/>
    </w:rPr>
  </w:style>
  <w:style w:type="character" w:customStyle="1" w:styleId="6">
    <w:name w:val="页眉 字符"/>
    <w:basedOn w:val="5"/>
    <w:link w:val="3"/>
    <w:qFormat/>
    <w:uiPriority w:val="0"/>
    <w:rPr>
      <w:rFonts w:ascii="Calibri" w:hAnsi="Calibri"/>
      <w:kern w:val="2"/>
      <w:sz w:val="18"/>
      <w:szCs w:val="18"/>
    </w:rPr>
  </w:style>
  <w:style w:type="character" w:customStyle="1" w:styleId="7">
    <w:name w:val="页脚 字符"/>
    <w:basedOn w:val="5"/>
    <w:link w:val="2"/>
    <w:qFormat/>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1145</Words>
  <Characters>1167</Characters>
  <Lines>36</Lines>
  <Paragraphs>25</Paragraphs>
  <TotalTime>4</TotalTime>
  <ScaleCrop>false</ScaleCrop>
  <LinksUpToDate>false</LinksUpToDate>
  <CharactersWithSpaces>1237</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2022-07-25T00:53:00Z</dcterms:created>
  <dc:creator>文档存本地丢失不负责</dc:creator>
  <cp:lastModifiedBy>鲍雅如</cp:lastModifiedBy>
  <cp:lastPrinted>2022-07-25T02:39:00Z</cp:lastPrinted>
  <dcterms:modified xsi:type="dcterms:W3CDTF">2026-06-30T01:17:51Z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04E34C3E7BF5406E98A6D3A2BBB78A85_13</vt:lpwstr>
  </property>
  <property fmtid="{D5CDD505-2E9C-101B-9397-08002B2CF9AE}" pid="4" name="KSOTemplateDocerSaveRecord">
    <vt:lpwstr>eyJoZGlkIjoiNjRiMWNhNzcyYTNmZTkwZTQxMjQ2NTA4NDVmOGU4OGYiLCJ1c2VySWQiOiIzMDA5MzIwNzcifQ==</vt:lpwstr>
  </property>
</Properties>
</file>