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110F3">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42941936">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时间：2025年1</w:t>
      </w:r>
      <w:r>
        <w:rPr>
          <w:rFonts w:hint="eastAsia" w:ascii="仿宋" w:hAnsi="仿宋" w:eastAsia="仿宋" w:cs="仿宋"/>
          <w:sz w:val="28"/>
          <w:szCs w:val="28"/>
          <w:lang w:val="en-US" w:eastAsia="zh-CN"/>
        </w:rPr>
        <w:t>2</w:t>
      </w:r>
      <w:r>
        <w:rPr>
          <w:rFonts w:hint="eastAsia" w:ascii="仿宋" w:hAnsi="仿宋" w:eastAsia="仿宋" w:cs="仿宋"/>
          <w:sz w:val="28"/>
          <w:szCs w:val="28"/>
        </w:rPr>
        <w:t>月</w:t>
      </w:r>
      <w:r>
        <w:rPr>
          <w:rFonts w:hint="eastAsia" w:ascii="仿宋" w:hAnsi="仿宋" w:eastAsia="仿宋" w:cs="仿宋"/>
          <w:sz w:val="28"/>
          <w:szCs w:val="28"/>
          <w:lang w:val="en-US" w:eastAsia="zh-CN"/>
        </w:rPr>
        <w:t>3</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974"/>
        <w:gridCol w:w="3529"/>
        <w:gridCol w:w="1755"/>
        <w:gridCol w:w="1386"/>
        <w:gridCol w:w="1207"/>
        <w:gridCol w:w="1195"/>
        <w:gridCol w:w="1461"/>
        <w:gridCol w:w="786"/>
      </w:tblGrid>
      <w:tr w14:paraId="76D4A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46980BC7">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1974" w:type="dxa"/>
            <w:vAlign w:val="center"/>
          </w:tcPr>
          <w:p w14:paraId="52089EFE">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3529" w:type="dxa"/>
            <w:vAlign w:val="center"/>
          </w:tcPr>
          <w:p w14:paraId="2FC85DFA">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1755" w:type="dxa"/>
            <w:vAlign w:val="center"/>
          </w:tcPr>
          <w:p w14:paraId="34CA0248">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1386" w:type="dxa"/>
            <w:vAlign w:val="center"/>
          </w:tcPr>
          <w:p w14:paraId="44C6626B">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1207" w:type="dxa"/>
            <w:vAlign w:val="center"/>
          </w:tcPr>
          <w:p w14:paraId="09BA69AF">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4F7504A3">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195" w:type="dxa"/>
            <w:vAlign w:val="center"/>
          </w:tcPr>
          <w:p w14:paraId="573FC58B">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461" w:type="dxa"/>
            <w:vAlign w:val="center"/>
          </w:tcPr>
          <w:p w14:paraId="448A47A7">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vAlign w:val="center"/>
          </w:tcPr>
          <w:p w14:paraId="07EBA990">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792D1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16A30DA">
            <w:pPr>
              <w:widowControl/>
              <w:shd w:val="clear" w:color="auto" w:fill="FFFFFF"/>
              <w:spacing w:before="105" w:after="105" w:line="360" w:lineRule="auto"/>
              <w:jc w:val="center"/>
              <w:rPr>
                <w:rFonts w:hint="eastAsia" w:ascii="仿宋" w:hAnsi="仿宋" w:eastAsia="仿宋" w:cs="仿宋"/>
                <w:sz w:val="21"/>
                <w:szCs w:val="21"/>
              </w:rPr>
            </w:pPr>
            <w:r>
              <w:rPr>
                <w:rFonts w:hint="eastAsia" w:ascii="仿宋" w:hAnsi="仿宋" w:eastAsia="仿宋" w:cs="仿宋"/>
                <w:color w:val="333333"/>
                <w:kern w:val="0"/>
                <w:sz w:val="21"/>
                <w:szCs w:val="21"/>
                <w:shd w:val="clear" w:color="auto" w:fill="FFFFFF"/>
              </w:rPr>
              <w:t>1</w:t>
            </w:r>
          </w:p>
        </w:tc>
        <w:tc>
          <w:tcPr>
            <w:tcW w:w="1974" w:type="dxa"/>
            <w:vAlign w:val="center"/>
          </w:tcPr>
          <w:p w14:paraId="41E10A77">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一种基于序列推荐SeqTransRepeatNet的视频推荐方法</w:t>
            </w:r>
          </w:p>
        </w:tc>
        <w:tc>
          <w:tcPr>
            <w:tcW w:w="3529" w:type="dxa"/>
            <w:vAlign w:val="center"/>
          </w:tcPr>
          <w:p w14:paraId="715B46F4">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针对现有的方法无法准确建模项目间的顺序关系、难以有效捕捉长期依赖、对关键项目关系的忽视以及经常重复推荐某类视频的技术问题，本发明提出一种基于序列推荐SeqTransRepeatNet的视频推荐方法。本发明推荐误差小，泛化能力强，能够准确对用户的下一个观看视频进行推荐。</w:t>
            </w:r>
          </w:p>
        </w:tc>
        <w:tc>
          <w:tcPr>
            <w:tcW w:w="1755" w:type="dxa"/>
            <w:vAlign w:val="center"/>
          </w:tcPr>
          <w:p w14:paraId="55BDE2AB">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冯媛,张建伟,孙亚辉,蔡增玉,王庆龙,朱亮,梁树军</w:t>
            </w:r>
          </w:p>
        </w:tc>
        <w:tc>
          <w:tcPr>
            <w:tcW w:w="1386" w:type="dxa"/>
            <w:vAlign w:val="center"/>
          </w:tcPr>
          <w:p w14:paraId="70ADA6D7">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长期使用权（10年）</w:t>
            </w:r>
          </w:p>
        </w:tc>
        <w:tc>
          <w:tcPr>
            <w:tcW w:w="1207" w:type="dxa"/>
            <w:vAlign w:val="center"/>
          </w:tcPr>
          <w:p w14:paraId="50E67573">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技术许可</w:t>
            </w:r>
          </w:p>
        </w:tc>
        <w:tc>
          <w:tcPr>
            <w:tcW w:w="1195" w:type="dxa"/>
            <w:vAlign w:val="center"/>
          </w:tcPr>
          <w:p w14:paraId="3434939F">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5</w:t>
            </w:r>
          </w:p>
        </w:tc>
        <w:tc>
          <w:tcPr>
            <w:tcW w:w="1461" w:type="dxa"/>
            <w:vAlign w:val="center"/>
          </w:tcPr>
          <w:p w14:paraId="6010023E">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郑州格极信息科技有限公司</w:t>
            </w:r>
          </w:p>
        </w:tc>
        <w:tc>
          <w:tcPr>
            <w:tcW w:w="786" w:type="dxa"/>
            <w:vAlign w:val="center"/>
          </w:tcPr>
          <w:p w14:paraId="6132E94D">
            <w:pPr>
              <w:keepNext w:val="0"/>
              <w:keepLines w:val="0"/>
              <w:pageBreakBefore w:val="0"/>
              <w:kinsoku/>
              <w:wordWrap/>
              <w:overflowPunct/>
              <w:topLinePunct w:val="0"/>
              <w:autoSpaceDE/>
              <w:autoSpaceDN/>
              <w:bidi w:val="0"/>
              <w:adjustRightInd/>
              <w:spacing w:line="360" w:lineRule="auto"/>
              <w:jc w:val="center"/>
              <w:textAlignment w:val="auto"/>
              <w:rPr>
                <w:rFonts w:hint="eastAsia" w:ascii="仿宋" w:hAnsi="仿宋" w:eastAsia="仿宋" w:cs="仿宋"/>
                <w:sz w:val="21"/>
                <w:szCs w:val="21"/>
              </w:rPr>
            </w:pPr>
          </w:p>
        </w:tc>
      </w:tr>
      <w:tr w14:paraId="1C639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17B30EE">
            <w:pPr>
              <w:widowControl/>
              <w:shd w:val="clear" w:color="auto" w:fill="FFFFFF"/>
              <w:spacing w:before="105" w:after="105" w:line="360" w:lineRule="auto"/>
              <w:jc w:val="center"/>
              <w:rPr>
                <w:rFonts w:hint="eastAsia" w:ascii="仿宋" w:hAnsi="仿宋" w:eastAsia="仿宋" w:cs="仿宋"/>
                <w:sz w:val="21"/>
                <w:szCs w:val="21"/>
              </w:rPr>
            </w:pPr>
            <w:r>
              <w:rPr>
                <w:rFonts w:hint="eastAsia" w:ascii="仿宋" w:hAnsi="仿宋" w:eastAsia="仿宋" w:cs="仿宋"/>
                <w:color w:val="333333"/>
                <w:kern w:val="0"/>
                <w:sz w:val="21"/>
                <w:szCs w:val="21"/>
                <w:shd w:val="clear" w:color="auto" w:fill="FFFFFF"/>
              </w:rPr>
              <w:t>2</w:t>
            </w:r>
          </w:p>
        </w:tc>
        <w:tc>
          <w:tcPr>
            <w:tcW w:w="1974" w:type="dxa"/>
            <w:vAlign w:val="center"/>
          </w:tcPr>
          <w:p w14:paraId="7E10F918">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一种基于国密和图片隐写的图片版权保护系统及保护方法</w:t>
            </w:r>
          </w:p>
        </w:tc>
        <w:tc>
          <w:tcPr>
            <w:tcW w:w="3529" w:type="dxa"/>
            <w:vAlign w:val="center"/>
          </w:tcPr>
          <w:p w14:paraId="6C30F75E">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本发明提出了一种基于国密和图片隐写的图片版权保护系统及保护方法，用于解决数字媒体版权问题中的图片版权纠纷的技术问题。本发明可对BMP和PNG格式的无损压缩的位图片进行签名，以保护图片创作者的著作权；具有很高的便捷性和可靠性，在进行签名时大大降低了对原图片内容的修改。</w:t>
            </w:r>
          </w:p>
        </w:tc>
        <w:tc>
          <w:tcPr>
            <w:tcW w:w="1755" w:type="dxa"/>
            <w:vAlign w:val="center"/>
          </w:tcPr>
          <w:p w14:paraId="2D8EAF7C">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蔡增玉,张建伟,王景超,胡颖,朱亮,冯媛,张卓,陈曦</w:t>
            </w:r>
          </w:p>
        </w:tc>
        <w:tc>
          <w:tcPr>
            <w:tcW w:w="1386" w:type="dxa"/>
            <w:vAlign w:val="center"/>
          </w:tcPr>
          <w:p w14:paraId="55EEF5E5">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长期使用权（10年）</w:t>
            </w:r>
          </w:p>
        </w:tc>
        <w:tc>
          <w:tcPr>
            <w:tcW w:w="1207" w:type="dxa"/>
            <w:vAlign w:val="center"/>
          </w:tcPr>
          <w:p w14:paraId="4B5C47D4">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技术许可</w:t>
            </w:r>
          </w:p>
        </w:tc>
        <w:tc>
          <w:tcPr>
            <w:tcW w:w="1195" w:type="dxa"/>
            <w:vAlign w:val="center"/>
          </w:tcPr>
          <w:p w14:paraId="2E3C7099">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3.5</w:t>
            </w:r>
          </w:p>
        </w:tc>
        <w:tc>
          <w:tcPr>
            <w:tcW w:w="1461" w:type="dxa"/>
            <w:vAlign w:val="center"/>
          </w:tcPr>
          <w:p w14:paraId="5FB87C97">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郑州格极信息科技有限公司</w:t>
            </w:r>
          </w:p>
        </w:tc>
        <w:tc>
          <w:tcPr>
            <w:tcW w:w="786" w:type="dxa"/>
            <w:vAlign w:val="center"/>
          </w:tcPr>
          <w:p w14:paraId="439092FC">
            <w:pPr>
              <w:keepNext w:val="0"/>
              <w:keepLines w:val="0"/>
              <w:pageBreakBefore w:val="0"/>
              <w:kinsoku/>
              <w:wordWrap/>
              <w:overflowPunct/>
              <w:topLinePunct w:val="0"/>
              <w:autoSpaceDE/>
              <w:autoSpaceDN/>
              <w:bidi w:val="0"/>
              <w:adjustRightInd/>
              <w:spacing w:line="360" w:lineRule="auto"/>
              <w:jc w:val="center"/>
              <w:textAlignment w:val="auto"/>
              <w:rPr>
                <w:rFonts w:hint="eastAsia" w:ascii="仿宋" w:hAnsi="仿宋" w:eastAsia="仿宋" w:cs="仿宋"/>
                <w:sz w:val="21"/>
                <w:szCs w:val="21"/>
              </w:rPr>
            </w:pPr>
          </w:p>
        </w:tc>
      </w:tr>
      <w:tr w14:paraId="5F9E8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C091E11">
            <w:pPr>
              <w:widowControl/>
              <w:shd w:val="clear" w:color="auto" w:fill="FFFFFF"/>
              <w:spacing w:before="105" w:after="105" w:line="360" w:lineRule="auto"/>
              <w:jc w:val="center"/>
              <w:rPr>
                <w:rFonts w:hint="eastAsia" w:ascii="仿宋" w:hAnsi="仿宋" w:eastAsia="仿宋" w:cs="仿宋"/>
                <w:sz w:val="21"/>
                <w:szCs w:val="21"/>
                <w:lang w:val="en-US" w:eastAsia="zh-CN"/>
              </w:rPr>
            </w:pPr>
            <w:r>
              <w:rPr>
                <w:rFonts w:hint="eastAsia" w:ascii="仿宋" w:hAnsi="仿宋" w:eastAsia="仿宋" w:cs="仿宋"/>
                <w:color w:val="333333"/>
                <w:kern w:val="0"/>
                <w:sz w:val="21"/>
                <w:szCs w:val="21"/>
                <w:shd w:val="clear" w:color="auto" w:fill="FFFFFF"/>
              </w:rPr>
              <w:t>3</w:t>
            </w:r>
          </w:p>
        </w:tc>
        <w:tc>
          <w:tcPr>
            <w:tcW w:w="1974" w:type="dxa"/>
            <w:shd w:val="clear" w:color="auto" w:fill="auto"/>
            <w:vAlign w:val="center"/>
          </w:tcPr>
          <w:p w14:paraId="70078519">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基于节点相似度和影响力的CCN社区划分方法</w:t>
            </w:r>
          </w:p>
        </w:tc>
        <w:tc>
          <w:tcPr>
            <w:tcW w:w="3529" w:type="dxa"/>
            <w:shd w:val="clear" w:color="auto" w:fill="auto"/>
            <w:vAlign w:val="center"/>
          </w:tcPr>
          <w:p w14:paraId="78788680">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针对现有的内容中心网络所存在的内容检索过程低效冗余问题以及现有CCN社区划分方法中所存在的稳定性差、缺乏考虑节点之间的相似性及节点的重要性的技术问题，本发明提出一种基于节点相似度和影响力的CCN社区划分方法，通过引入SDN控制器和社区划分可以加快内容检索和路由分发的速度，提高CCN路由的性能。</w:t>
            </w:r>
          </w:p>
        </w:tc>
        <w:tc>
          <w:tcPr>
            <w:tcW w:w="1755" w:type="dxa"/>
            <w:shd w:val="clear" w:color="auto" w:fill="auto"/>
            <w:vAlign w:val="center"/>
          </w:tcPr>
          <w:p w14:paraId="3C059705">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蔡增玉,张建伟,崔梦梦,朱亮,陈曦,孙海燕,司亚婕,谭春宸</w:t>
            </w:r>
          </w:p>
        </w:tc>
        <w:tc>
          <w:tcPr>
            <w:tcW w:w="1386" w:type="dxa"/>
            <w:shd w:val="clear" w:color="auto" w:fill="auto"/>
            <w:vAlign w:val="center"/>
          </w:tcPr>
          <w:p w14:paraId="3A0E988B">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长期使用权（10年）</w:t>
            </w:r>
          </w:p>
        </w:tc>
        <w:tc>
          <w:tcPr>
            <w:tcW w:w="1207" w:type="dxa"/>
            <w:shd w:val="clear" w:color="auto" w:fill="auto"/>
            <w:vAlign w:val="center"/>
          </w:tcPr>
          <w:p w14:paraId="43BD8014">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技术许可</w:t>
            </w:r>
          </w:p>
        </w:tc>
        <w:tc>
          <w:tcPr>
            <w:tcW w:w="1195" w:type="dxa"/>
            <w:shd w:val="clear" w:color="auto" w:fill="auto"/>
            <w:vAlign w:val="center"/>
          </w:tcPr>
          <w:p w14:paraId="56AF466B">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3.5</w:t>
            </w:r>
          </w:p>
        </w:tc>
        <w:tc>
          <w:tcPr>
            <w:tcW w:w="1461" w:type="dxa"/>
            <w:shd w:val="clear" w:color="auto" w:fill="auto"/>
            <w:vAlign w:val="center"/>
          </w:tcPr>
          <w:p w14:paraId="5B1BA110">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郑州格极信息科技有限公司</w:t>
            </w:r>
          </w:p>
        </w:tc>
        <w:tc>
          <w:tcPr>
            <w:tcW w:w="786" w:type="dxa"/>
            <w:vAlign w:val="center"/>
          </w:tcPr>
          <w:p w14:paraId="7B6E9980">
            <w:pPr>
              <w:keepNext w:val="0"/>
              <w:keepLines w:val="0"/>
              <w:pageBreakBefore w:val="0"/>
              <w:kinsoku/>
              <w:wordWrap/>
              <w:overflowPunct/>
              <w:topLinePunct w:val="0"/>
              <w:autoSpaceDE/>
              <w:autoSpaceDN/>
              <w:bidi w:val="0"/>
              <w:adjustRightInd/>
              <w:spacing w:line="360" w:lineRule="auto"/>
              <w:jc w:val="center"/>
              <w:textAlignment w:val="auto"/>
              <w:rPr>
                <w:rFonts w:hint="eastAsia" w:ascii="仿宋" w:hAnsi="仿宋" w:eastAsia="仿宋" w:cs="仿宋"/>
                <w:sz w:val="21"/>
                <w:szCs w:val="21"/>
              </w:rPr>
            </w:pPr>
          </w:p>
        </w:tc>
      </w:tr>
      <w:tr w14:paraId="75925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A9CEB78">
            <w:pPr>
              <w:widowControl/>
              <w:shd w:val="clear" w:color="auto" w:fill="FFFFFF"/>
              <w:spacing w:before="105" w:after="105" w:line="360" w:lineRule="auto"/>
              <w:jc w:val="center"/>
              <w:rPr>
                <w:rFonts w:hint="eastAsia" w:ascii="仿宋" w:hAnsi="仿宋" w:eastAsia="仿宋" w:cs="仿宋"/>
                <w:sz w:val="21"/>
                <w:szCs w:val="21"/>
                <w:lang w:val="en-US" w:eastAsia="zh-CN"/>
              </w:rPr>
            </w:pPr>
            <w:r>
              <w:rPr>
                <w:rFonts w:hint="eastAsia" w:ascii="仿宋" w:hAnsi="仿宋" w:eastAsia="仿宋" w:cs="仿宋"/>
                <w:color w:val="333333"/>
                <w:kern w:val="0"/>
                <w:sz w:val="21"/>
                <w:szCs w:val="21"/>
                <w:shd w:val="clear" w:color="auto" w:fill="FFFFFF"/>
              </w:rPr>
              <w:t>4</w:t>
            </w:r>
          </w:p>
        </w:tc>
        <w:tc>
          <w:tcPr>
            <w:tcW w:w="1974" w:type="dxa"/>
            <w:shd w:val="clear" w:color="auto" w:fill="auto"/>
            <w:vAlign w:val="center"/>
          </w:tcPr>
          <w:p w14:paraId="19874CE9">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一种逐级递进的二阶段医学图像配准方法</w:t>
            </w:r>
          </w:p>
        </w:tc>
        <w:tc>
          <w:tcPr>
            <w:tcW w:w="3529" w:type="dxa"/>
            <w:shd w:val="clear" w:color="auto" w:fill="auto"/>
            <w:vAlign w:val="center"/>
          </w:tcPr>
          <w:p w14:paraId="6FF1DAD9">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本发明提出了一种逐级递进的二阶段医学图像配准方法，用以解决传统配准方法在进行图像配准时存在精度不够高的问题。</w:t>
            </w:r>
          </w:p>
        </w:tc>
        <w:tc>
          <w:tcPr>
            <w:tcW w:w="1755" w:type="dxa"/>
            <w:shd w:val="clear" w:color="auto" w:fill="auto"/>
            <w:vAlign w:val="center"/>
          </w:tcPr>
          <w:p w14:paraId="70ACADFA">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郑倩,南姣芬,王强,张建伟,张亚洲,师夏阳,刘珊,巴晓娟</w:t>
            </w:r>
          </w:p>
        </w:tc>
        <w:tc>
          <w:tcPr>
            <w:tcW w:w="1386" w:type="dxa"/>
            <w:shd w:val="clear" w:color="auto" w:fill="auto"/>
            <w:vAlign w:val="center"/>
          </w:tcPr>
          <w:p w14:paraId="74B4E8AA">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长期使用权（10年）</w:t>
            </w:r>
          </w:p>
        </w:tc>
        <w:tc>
          <w:tcPr>
            <w:tcW w:w="1207" w:type="dxa"/>
            <w:shd w:val="clear" w:color="auto" w:fill="auto"/>
            <w:vAlign w:val="center"/>
          </w:tcPr>
          <w:p w14:paraId="0B6C7DB6">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技术许可</w:t>
            </w:r>
          </w:p>
        </w:tc>
        <w:tc>
          <w:tcPr>
            <w:tcW w:w="1195" w:type="dxa"/>
            <w:shd w:val="clear" w:color="auto" w:fill="auto"/>
            <w:vAlign w:val="center"/>
          </w:tcPr>
          <w:p w14:paraId="4588EC8C">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3.1</w:t>
            </w:r>
          </w:p>
        </w:tc>
        <w:tc>
          <w:tcPr>
            <w:tcW w:w="1461" w:type="dxa"/>
            <w:shd w:val="clear" w:color="auto" w:fill="auto"/>
            <w:vAlign w:val="center"/>
          </w:tcPr>
          <w:p w14:paraId="3DA5D4D5">
            <w:pPr>
              <w:widowControl/>
              <w:shd w:val="clear" w:color="auto" w:fill="FFFFFF"/>
              <w:spacing w:before="105" w:after="105" w:line="360" w:lineRule="auto"/>
              <w:jc w:val="center"/>
              <w:rPr>
                <w:rFonts w:hint="eastAsia" w:ascii="仿宋" w:hAnsi="仿宋" w:eastAsia="仿宋" w:cs="仿宋"/>
                <w:snapToGrid w:val="0"/>
                <w:color w:val="000000"/>
                <w:spacing w:val="-4"/>
                <w:kern w:val="0"/>
                <w:sz w:val="21"/>
                <w:szCs w:val="21"/>
                <w:lang w:val="en-US" w:eastAsia="zh-CN"/>
              </w:rPr>
            </w:pPr>
            <w:r>
              <w:rPr>
                <w:rFonts w:hint="eastAsia" w:ascii="仿宋" w:hAnsi="仿宋" w:eastAsia="仿宋" w:cs="仿宋"/>
                <w:snapToGrid w:val="0"/>
                <w:color w:val="000000"/>
                <w:spacing w:val="-4"/>
                <w:kern w:val="0"/>
                <w:sz w:val="21"/>
                <w:szCs w:val="21"/>
              </w:rPr>
              <w:t>郑州格极信息科技有限公司</w:t>
            </w:r>
          </w:p>
        </w:tc>
        <w:tc>
          <w:tcPr>
            <w:tcW w:w="786" w:type="dxa"/>
            <w:vAlign w:val="center"/>
          </w:tcPr>
          <w:p w14:paraId="2480D19F">
            <w:pPr>
              <w:keepNext w:val="0"/>
              <w:keepLines w:val="0"/>
              <w:pageBreakBefore w:val="0"/>
              <w:kinsoku/>
              <w:wordWrap/>
              <w:overflowPunct/>
              <w:topLinePunct w:val="0"/>
              <w:autoSpaceDE/>
              <w:autoSpaceDN/>
              <w:bidi w:val="0"/>
              <w:adjustRightInd/>
              <w:spacing w:line="360" w:lineRule="auto"/>
              <w:jc w:val="center"/>
              <w:textAlignment w:val="auto"/>
              <w:rPr>
                <w:rFonts w:hint="eastAsia" w:ascii="仿宋" w:hAnsi="仿宋" w:eastAsia="仿宋" w:cs="仿宋"/>
                <w:sz w:val="21"/>
                <w:szCs w:val="21"/>
              </w:rPr>
            </w:pPr>
          </w:p>
        </w:tc>
      </w:tr>
    </w:tbl>
    <w:p w14:paraId="45898BBB">
      <w:pPr>
        <w:rPr>
          <w:rFonts w:ascii="仿宋" w:hAnsi="仿宋" w:eastAsia="仿宋"/>
          <w:sz w:val="24"/>
          <w:szCs w:val="24"/>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70345"/>
    <w:rsid w:val="000D3EA8"/>
    <w:rsid w:val="00134853"/>
    <w:rsid w:val="00177E52"/>
    <w:rsid w:val="001A09BA"/>
    <w:rsid w:val="002A40B0"/>
    <w:rsid w:val="005440E0"/>
    <w:rsid w:val="0058314F"/>
    <w:rsid w:val="00643B2E"/>
    <w:rsid w:val="00652DF4"/>
    <w:rsid w:val="007970B5"/>
    <w:rsid w:val="00872187"/>
    <w:rsid w:val="009433FD"/>
    <w:rsid w:val="009F3EF3"/>
    <w:rsid w:val="00A46857"/>
    <w:rsid w:val="00B006CA"/>
    <w:rsid w:val="00B56E65"/>
    <w:rsid w:val="00CF2700"/>
    <w:rsid w:val="00D35412"/>
    <w:rsid w:val="00D945B5"/>
    <w:rsid w:val="00E00439"/>
    <w:rsid w:val="0F2B62DD"/>
    <w:rsid w:val="0FBF6A20"/>
    <w:rsid w:val="1308507D"/>
    <w:rsid w:val="163C6B4E"/>
    <w:rsid w:val="1FAC5225"/>
    <w:rsid w:val="29915111"/>
    <w:rsid w:val="2FA605C9"/>
    <w:rsid w:val="32132900"/>
    <w:rsid w:val="415E2C8C"/>
    <w:rsid w:val="41E94664"/>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 w:type="character" w:customStyle="1" w:styleId="8">
    <w:name w:val="fontstyle11"/>
    <w:qFormat/>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865</Words>
  <Characters>941</Characters>
  <Lines>5</Lines>
  <Paragraphs>1</Paragraphs>
  <TotalTime>3</TotalTime>
  <ScaleCrop>false</ScaleCrop>
  <LinksUpToDate>false</LinksUpToDate>
  <CharactersWithSpaces>1011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2025-12-03T08:58:24Z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