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FFE2620">
      <w:pPr>
        <w:jc w:val="center"/>
        <w:rPr>
          <w:rFonts w:hint="eastAsia"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郑州轻工业大学科研成果赋权情况表</w:t>
      </w:r>
    </w:p>
    <w:p w14:paraId="4409683A">
      <w:pPr>
        <w:spacing w:before="156" w:beforeLines="50"/>
        <w:jc w:val="center"/>
        <w:rPr>
          <w:rFonts w:hint="eastAsia" w:ascii="仿宋" w:hAnsi="仿宋" w:eastAsia="仿宋" w:cs="仿宋"/>
          <w:sz w:val="28"/>
          <w:szCs w:val="28"/>
        </w:rPr>
      </w:pPr>
      <w:r>
        <w:rPr>
          <w:rFonts w:hint="eastAsia" w:ascii="仿宋" w:hAnsi="仿宋" w:eastAsia="仿宋" w:cs="仿宋"/>
          <w:sz w:val="28"/>
          <w:szCs w:val="28"/>
        </w:rPr>
        <w:t xml:space="preserve">                                                                      时间：2026年6月2</w:t>
      </w:r>
      <w:r>
        <w:rPr>
          <w:rFonts w:hint="eastAsia" w:ascii="仿宋" w:hAnsi="仿宋" w:eastAsia="仿宋" w:cs="仿宋"/>
          <w:sz w:val="28"/>
          <w:szCs w:val="28"/>
          <w:lang w:val="en-US" w:eastAsia="zh-CN"/>
        </w:rPr>
        <w:t>6</w:t>
      </w:r>
      <w:bookmarkStart w:id="0" w:name="_GoBack"/>
      <w:bookmarkEnd w:id="0"/>
      <w:r>
        <w:rPr>
          <w:rFonts w:hint="eastAsia" w:ascii="仿宋" w:hAnsi="仿宋" w:eastAsia="仿宋" w:cs="仿宋"/>
          <w:sz w:val="28"/>
          <w:szCs w:val="28"/>
        </w:rPr>
        <w:t>日</w:t>
      </w:r>
    </w:p>
    <w:tbl>
      <w:tblPr>
        <w:tblStyle w:val="4"/>
        <w:tblpPr w:leftFromText="180" w:rightFromText="180" w:vertAnchor="text" w:horzAnchor="page" w:tblpX="1551" w:tblpY="435"/>
        <w:tblOverlap w:val="never"/>
        <w:tblW w:w="13837"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44"/>
        <w:gridCol w:w="1265"/>
        <w:gridCol w:w="5245"/>
        <w:gridCol w:w="1701"/>
        <w:gridCol w:w="1134"/>
        <w:gridCol w:w="709"/>
        <w:gridCol w:w="1168"/>
        <w:gridCol w:w="1285"/>
        <w:gridCol w:w="786"/>
      </w:tblGrid>
      <w:tr w14:paraId="3A1DC2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6" w:hRule="atLeast"/>
        </w:trPr>
        <w:tc>
          <w:tcPr>
            <w:tcW w:w="544" w:type="dxa"/>
            <w:shd w:val="clear" w:color="auto" w:fill="auto"/>
            <w:vAlign w:val="center"/>
          </w:tcPr>
          <w:p w14:paraId="37F0414D">
            <w:pPr>
              <w:snapToGrid w:val="0"/>
              <w:spacing w:line="340" w:lineRule="atLeast"/>
              <w:jc w:val="center"/>
              <w:rPr>
                <w:rFonts w:hint="eastAsia" w:ascii="黑体" w:hAnsi="黑体" w:eastAsia="黑体" w:cs="黑体"/>
                <w:sz w:val="24"/>
              </w:rPr>
            </w:pPr>
            <w:r>
              <w:rPr>
                <w:rFonts w:hint="eastAsia" w:ascii="黑体" w:hAnsi="黑体" w:eastAsia="黑体" w:cs="黑体"/>
                <w:sz w:val="24"/>
              </w:rPr>
              <w:t>序号</w:t>
            </w:r>
          </w:p>
        </w:tc>
        <w:tc>
          <w:tcPr>
            <w:tcW w:w="1265" w:type="dxa"/>
            <w:shd w:val="clear" w:color="auto" w:fill="auto"/>
            <w:vAlign w:val="center"/>
          </w:tcPr>
          <w:p w14:paraId="170604B6">
            <w:pPr>
              <w:snapToGrid w:val="0"/>
              <w:spacing w:line="340" w:lineRule="atLeast"/>
              <w:jc w:val="center"/>
              <w:rPr>
                <w:rFonts w:hint="eastAsia" w:ascii="黑体" w:hAnsi="黑体" w:eastAsia="黑体" w:cs="黑体"/>
                <w:sz w:val="24"/>
              </w:rPr>
            </w:pPr>
            <w:r>
              <w:rPr>
                <w:rFonts w:hint="eastAsia" w:ascii="黑体" w:hAnsi="黑体" w:eastAsia="黑体" w:cs="黑体"/>
                <w:sz w:val="24"/>
              </w:rPr>
              <w:t>成果名称</w:t>
            </w:r>
          </w:p>
        </w:tc>
        <w:tc>
          <w:tcPr>
            <w:tcW w:w="5245" w:type="dxa"/>
            <w:shd w:val="clear" w:color="auto" w:fill="auto"/>
            <w:vAlign w:val="center"/>
          </w:tcPr>
          <w:p w14:paraId="5CEF7682">
            <w:pPr>
              <w:snapToGrid w:val="0"/>
              <w:spacing w:line="340" w:lineRule="atLeast"/>
              <w:jc w:val="center"/>
              <w:rPr>
                <w:rFonts w:hint="eastAsia" w:ascii="黑体" w:hAnsi="黑体" w:eastAsia="黑体" w:cs="黑体"/>
                <w:sz w:val="24"/>
              </w:rPr>
            </w:pPr>
            <w:r>
              <w:rPr>
                <w:rFonts w:hint="eastAsia" w:ascii="黑体" w:hAnsi="黑体" w:eastAsia="黑体" w:cs="黑体"/>
                <w:sz w:val="24"/>
              </w:rPr>
              <w:t>成果内容摘要</w:t>
            </w:r>
          </w:p>
        </w:tc>
        <w:tc>
          <w:tcPr>
            <w:tcW w:w="1701" w:type="dxa"/>
            <w:shd w:val="clear" w:color="auto" w:fill="auto"/>
            <w:vAlign w:val="center"/>
          </w:tcPr>
          <w:p w14:paraId="69A24280">
            <w:pPr>
              <w:snapToGrid w:val="0"/>
              <w:spacing w:line="340" w:lineRule="atLeast"/>
              <w:jc w:val="center"/>
              <w:rPr>
                <w:rFonts w:hint="eastAsia" w:ascii="黑体" w:hAnsi="黑体" w:eastAsia="黑体" w:cs="黑体"/>
                <w:sz w:val="24"/>
              </w:rPr>
            </w:pPr>
            <w:r>
              <w:rPr>
                <w:rFonts w:hint="eastAsia" w:ascii="黑体" w:hAnsi="黑体" w:eastAsia="黑体" w:cs="黑体"/>
                <w:sz w:val="24"/>
              </w:rPr>
              <w:t>成果完成人</w:t>
            </w:r>
          </w:p>
        </w:tc>
        <w:tc>
          <w:tcPr>
            <w:tcW w:w="1134" w:type="dxa"/>
            <w:shd w:val="clear" w:color="auto" w:fill="auto"/>
            <w:vAlign w:val="center"/>
          </w:tcPr>
          <w:p w14:paraId="10DE0A36">
            <w:pPr>
              <w:snapToGrid w:val="0"/>
              <w:spacing w:line="340" w:lineRule="atLeast"/>
              <w:jc w:val="center"/>
              <w:rPr>
                <w:rFonts w:hint="eastAsia" w:ascii="黑体" w:hAnsi="黑体" w:eastAsia="黑体" w:cs="黑体"/>
                <w:sz w:val="24"/>
              </w:rPr>
            </w:pPr>
            <w:r>
              <w:rPr>
                <w:rFonts w:hint="eastAsia" w:ascii="黑体" w:hAnsi="黑体" w:eastAsia="黑体" w:cs="黑体"/>
                <w:sz w:val="24"/>
              </w:rPr>
              <w:t>赋权类型</w:t>
            </w:r>
          </w:p>
        </w:tc>
        <w:tc>
          <w:tcPr>
            <w:tcW w:w="709" w:type="dxa"/>
            <w:shd w:val="clear" w:color="auto" w:fill="auto"/>
            <w:vAlign w:val="center"/>
          </w:tcPr>
          <w:p w14:paraId="313A67B3">
            <w:pPr>
              <w:snapToGrid w:val="0"/>
              <w:spacing w:line="340" w:lineRule="atLeast"/>
              <w:jc w:val="center"/>
              <w:rPr>
                <w:rFonts w:hint="eastAsia" w:ascii="黑体" w:hAnsi="黑体" w:eastAsia="黑体" w:cs="黑体"/>
                <w:sz w:val="24"/>
              </w:rPr>
            </w:pPr>
            <w:r>
              <w:rPr>
                <w:rFonts w:hint="eastAsia" w:ascii="黑体" w:hAnsi="黑体" w:eastAsia="黑体" w:cs="黑体"/>
                <w:sz w:val="24"/>
              </w:rPr>
              <w:t>转化</w:t>
            </w:r>
          </w:p>
          <w:p w14:paraId="28A90CB4">
            <w:pPr>
              <w:snapToGrid w:val="0"/>
              <w:spacing w:line="340" w:lineRule="atLeast"/>
              <w:jc w:val="center"/>
              <w:rPr>
                <w:rFonts w:hint="eastAsia" w:ascii="黑体" w:hAnsi="黑体" w:eastAsia="黑体" w:cs="黑体"/>
                <w:sz w:val="24"/>
              </w:rPr>
            </w:pPr>
            <w:r>
              <w:rPr>
                <w:rFonts w:hint="eastAsia" w:ascii="黑体" w:hAnsi="黑体" w:eastAsia="黑体" w:cs="黑体"/>
                <w:sz w:val="24"/>
              </w:rPr>
              <w:t>方式</w:t>
            </w:r>
          </w:p>
        </w:tc>
        <w:tc>
          <w:tcPr>
            <w:tcW w:w="1168" w:type="dxa"/>
            <w:shd w:val="clear" w:color="auto" w:fill="auto"/>
            <w:vAlign w:val="center"/>
          </w:tcPr>
          <w:p w14:paraId="78592496">
            <w:pPr>
              <w:snapToGrid w:val="0"/>
              <w:spacing w:line="340" w:lineRule="atLeast"/>
              <w:jc w:val="center"/>
              <w:rPr>
                <w:rFonts w:hint="eastAsia" w:ascii="黑体" w:hAnsi="黑体" w:eastAsia="黑体" w:cs="黑体"/>
                <w:sz w:val="24"/>
              </w:rPr>
            </w:pPr>
            <w:r>
              <w:rPr>
                <w:rFonts w:hint="eastAsia" w:ascii="黑体" w:hAnsi="黑体" w:eastAsia="黑体" w:cs="黑体"/>
                <w:sz w:val="24"/>
              </w:rPr>
              <w:t>交易金额（万元）</w:t>
            </w:r>
          </w:p>
        </w:tc>
        <w:tc>
          <w:tcPr>
            <w:tcW w:w="1285" w:type="dxa"/>
            <w:shd w:val="clear" w:color="auto" w:fill="auto"/>
            <w:vAlign w:val="center"/>
          </w:tcPr>
          <w:p w14:paraId="0EDD8E79">
            <w:pPr>
              <w:snapToGrid w:val="0"/>
              <w:spacing w:line="340" w:lineRule="atLeast"/>
              <w:jc w:val="center"/>
              <w:rPr>
                <w:rFonts w:hint="eastAsia" w:ascii="黑体" w:hAnsi="黑体" w:eastAsia="黑体" w:cs="黑体"/>
                <w:sz w:val="24"/>
              </w:rPr>
            </w:pPr>
            <w:r>
              <w:rPr>
                <w:rFonts w:hint="eastAsia" w:ascii="黑体" w:hAnsi="黑体" w:eastAsia="黑体" w:cs="黑体"/>
                <w:sz w:val="24"/>
              </w:rPr>
              <w:t>受让方</w:t>
            </w:r>
          </w:p>
        </w:tc>
        <w:tc>
          <w:tcPr>
            <w:tcW w:w="786" w:type="dxa"/>
            <w:shd w:val="clear" w:color="auto" w:fill="auto"/>
            <w:vAlign w:val="center"/>
          </w:tcPr>
          <w:p w14:paraId="64AF74B9">
            <w:pPr>
              <w:snapToGrid w:val="0"/>
              <w:spacing w:line="340" w:lineRule="atLeast"/>
              <w:jc w:val="center"/>
              <w:rPr>
                <w:rFonts w:hint="eastAsia" w:ascii="黑体" w:hAnsi="黑体" w:eastAsia="黑体" w:cs="黑体"/>
                <w:sz w:val="24"/>
              </w:rPr>
            </w:pPr>
            <w:r>
              <w:rPr>
                <w:rFonts w:hint="eastAsia" w:ascii="黑体" w:hAnsi="黑体" w:eastAsia="黑体" w:cs="黑体"/>
                <w:sz w:val="24"/>
              </w:rPr>
              <w:t>备注</w:t>
            </w:r>
          </w:p>
        </w:tc>
      </w:tr>
      <w:tr w14:paraId="186E0F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39" w:hRule="atLeast"/>
        </w:trPr>
        <w:tc>
          <w:tcPr>
            <w:tcW w:w="544" w:type="dxa"/>
            <w:shd w:val="clear" w:color="auto" w:fill="auto"/>
            <w:vAlign w:val="center"/>
          </w:tcPr>
          <w:p w14:paraId="22CD2478">
            <w:pPr>
              <w:rPr>
                <w:rFonts w:hint="eastAsia" w:ascii="仿宋" w:hAnsi="仿宋" w:eastAsia="仿宋" w:cs="仿宋"/>
                <w:sz w:val="21"/>
                <w:szCs w:val="21"/>
              </w:rPr>
            </w:pPr>
            <w:r>
              <w:rPr>
                <w:rFonts w:hint="eastAsia" w:ascii="仿宋" w:hAnsi="仿宋" w:eastAsia="仿宋" w:cs="仿宋"/>
                <w:sz w:val="21"/>
                <w:szCs w:val="21"/>
              </w:rPr>
              <w:t>1</w:t>
            </w:r>
          </w:p>
        </w:tc>
        <w:tc>
          <w:tcPr>
            <w:tcW w:w="1265" w:type="dxa"/>
            <w:shd w:val="clear" w:color="auto" w:fill="auto"/>
            <w:vAlign w:val="center"/>
          </w:tcPr>
          <w:p w14:paraId="32FCE5EA">
            <w:pPr>
              <w:rPr>
                <w:rFonts w:hint="eastAsia" w:ascii="仿宋" w:hAnsi="仿宋" w:eastAsia="仿宋" w:cs="仿宋"/>
                <w:sz w:val="21"/>
                <w:szCs w:val="21"/>
              </w:rPr>
            </w:pPr>
            <w:r>
              <w:rPr>
                <w:rFonts w:hint="eastAsia" w:ascii="仿宋" w:hAnsi="仿宋" w:eastAsia="仿宋" w:cs="仿宋"/>
                <w:sz w:val="21"/>
                <w:szCs w:val="21"/>
              </w:rPr>
              <w:t>一种棉花异性纤维在线检测方法及系统</w:t>
            </w:r>
          </w:p>
        </w:tc>
        <w:tc>
          <w:tcPr>
            <w:tcW w:w="5245" w:type="dxa"/>
            <w:shd w:val="clear" w:color="auto" w:fill="auto"/>
            <w:vAlign w:val="center"/>
          </w:tcPr>
          <w:p w14:paraId="2B0CFF13">
            <w:pPr>
              <w:rPr>
                <w:rFonts w:hint="eastAsia" w:ascii="仿宋" w:hAnsi="仿宋" w:eastAsia="仿宋" w:cs="仿宋"/>
                <w:sz w:val="21"/>
                <w:szCs w:val="21"/>
              </w:rPr>
            </w:pPr>
            <w:r>
              <w:rPr>
                <w:rFonts w:hint="eastAsia" w:ascii="仿宋" w:hAnsi="仿宋" w:eastAsia="仿宋" w:cs="仿宋"/>
                <w:sz w:val="21"/>
                <w:szCs w:val="21"/>
              </w:rPr>
              <w:t>本发明提出了一种棉花异性纤维在线检测方法及系统，步骤为：偏振相机实时对激光照射的棉花的检测区域进行图像采集；采集的图像组成样本数据，对样本数据进行数据增强，得到增强后的样本集；利用迁移学方法对样本集进行预训练得到预分类的图像；预分类的图像经过并行级联深度学习方法进行识别分类得到异纤的种类及位置；通过CLAHE算法对识别分类后的图像进行直方图均衡得到带有目标检测框的异纤位置；异纤ROI算法对目标检测框的异纤位置进行提取得到异纤目标的几何参数。</w:t>
            </w:r>
          </w:p>
        </w:tc>
        <w:tc>
          <w:tcPr>
            <w:tcW w:w="1701" w:type="dxa"/>
            <w:shd w:val="clear" w:color="auto" w:fill="auto"/>
            <w:vAlign w:val="center"/>
          </w:tcPr>
          <w:p w14:paraId="2CA2572B">
            <w:pPr>
              <w:rPr>
                <w:rFonts w:hint="eastAsia" w:ascii="仿宋" w:hAnsi="仿宋" w:eastAsia="仿宋" w:cs="仿宋"/>
                <w:sz w:val="21"/>
                <w:szCs w:val="21"/>
              </w:rPr>
            </w:pPr>
            <w:r>
              <w:rPr>
                <w:rFonts w:hint="eastAsia" w:ascii="仿宋" w:hAnsi="仿宋" w:eastAsia="仿宋" w:cs="仿宋"/>
                <w:sz w:val="21"/>
                <w:szCs w:val="21"/>
              </w:rPr>
              <w:t>张志峰;王瑞;奚海祁;高万昌;杨坤;曹仲庆;翟玉生;耿利杰；张瑞亮;张霖;陈智勇;李晓慧</w:t>
            </w:r>
          </w:p>
        </w:tc>
        <w:tc>
          <w:tcPr>
            <w:tcW w:w="1134" w:type="dxa"/>
            <w:shd w:val="clear" w:color="auto" w:fill="auto"/>
            <w:vAlign w:val="center"/>
          </w:tcPr>
          <w:p w14:paraId="6AF6C93C">
            <w:pPr>
              <w:rPr>
                <w:rFonts w:hint="eastAsia" w:ascii="仿宋" w:hAnsi="仿宋" w:eastAsia="仿宋" w:cs="仿宋"/>
                <w:sz w:val="21"/>
                <w:szCs w:val="21"/>
              </w:rPr>
            </w:pPr>
            <w:r>
              <w:rPr>
                <w:rFonts w:hint="eastAsia" w:ascii="仿宋" w:hAnsi="仿宋" w:eastAsia="仿宋" w:cs="仿宋"/>
                <w:sz w:val="21"/>
                <w:szCs w:val="21"/>
              </w:rPr>
              <w:t>长期使用权（10年）</w:t>
            </w:r>
          </w:p>
        </w:tc>
        <w:tc>
          <w:tcPr>
            <w:tcW w:w="709" w:type="dxa"/>
            <w:shd w:val="clear" w:color="auto" w:fill="auto"/>
            <w:vAlign w:val="center"/>
          </w:tcPr>
          <w:p w14:paraId="460BBCD3">
            <w:pPr>
              <w:rPr>
                <w:rFonts w:hint="eastAsia" w:ascii="仿宋" w:hAnsi="仿宋" w:eastAsia="仿宋" w:cs="仿宋"/>
                <w:sz w:val="21"/>
                <w:szCs w:val="21"/>
              </w:rPr>
            </w:pPr>
            <w:r>
              <w:rPr>
                <w:rFonts w:hint="eastAsia" w:ascii="仿宋" w:hAnsi="仿宋" w:eastAsia="仿宋" w:cs="仿宋"/>
                <w:sz w:val="21"/>
                <w:szCs w:val="21"/>
              </w:rPr>
              <w:t>技术许可</w:t>
            </w:r>
          </w:p>
        </w:tc>
        <w:tc>
          <w:tcPr>
            <w:tcW w:w="1168" w:type="dxa"/>
            <w:shd w:val="clear" w:color="auto" w:fill="auto"/>
            <w:vAlign w:val="center"/>
          </w:tcPr>
          <w:p w14:paraId="4B57D520">
            <w:pPr>
              <w:rPr>
                <w:rFonts w:hint="eastAsia" w:ascii="仿宋" w:hAnsi="仿宋" w:eastAsia="仿宋" w:cs="仿宋"/>
                <w:sz w:val="21"/>
                <w:szCs w:val="21"/>
              </w:rPr>
            </w:pPr>
            <w:r>
              <w:rPr>
                <w:rFonts w:hint="eastAsia" w:ascii="仿宋" w:hAnsi="仿宋" w:eastAsia="仿宋" w:cs="仿宋"/>
                <w:sz w:val="21"/>
                <w:szCs w:val="21"/>
              </w:rPr>
              <w:t>15</w:t>
            </w:r>
          </w:p>
        </w:tc>
        <w:tc>
          <w:tcPr>
            <w:tcW w:w="1285" w:type="dxa"/>
            <w:shd w:val="clear" w:color="auto" w:fill="auto"/>
            <w:vAlign w:val="center"/>
          </w:tcPr>
          <w:p w14:paraId="03980ABD">
            <w:pPr>
              <w:rPr>
                <w:rFonts w:hint="eastAsia" w:ascii="仿宋" w:hAnsi="仿宋" w:eastAsia="仿宋" w:cs="仿宋"/>
                <w:sz w:val="21"/>
                <w:szCs w:val="21"/>
              </w:rPr>
            </w:pPr>
            <w:r>
              <w:rPr>
                <w:rFonts w:hint="eastAsia" w:ascii="仿宋" w:hAnsi="仿宋" w:eastAsia="仿宋" w:cs="仿宋"/>
                <w:sz w:val="21"/>
                <w:szCs w:val="21"/>
              </w:rPr>
              <w:t>郑州交信科技有限公司</w:t>
            </w:r>
          </w:p>
        </w:tc>
        <w:tc>
          <w:tcPr>
            <w:tcW w:w="786" w:type="dxa"/>
            <w:shd w:val="clear" w:color="auto" w:fill="auto"/>
            <w:vAlign w:val="center"/>
          </w:tcPr>
          <w:p w14:paraId="7AE0AD87">
            <w:pPr>
              <w:rPr>
                <w:rFonts w:hint="eastAsia" w:ascii="仿宋" w:hAnsi="仿宋" w:eastAsia="仿宋" w:cs="仿宋"/>
                <w:sz w:val="21"/>
                <w:szCs w:val="21"/>
              </w:rPr>
            </w:pPr>
          </w:p>
        </w:tc>
      </w:tr>
      <w:tr w14:paraId="2CF48A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39" w:hRule="atLeast"/>
        </w:trPr>
        <w:tc>
          <w:tcPr>
            <w:tcW w:w="544" w:type="dxa"/>
            <w:shd w:val="clear" w:color="auto" w:fill="auto"/>
            <w:vAlign w:val="center"/>
          </w:tcPr>
          <w:p w14:paraId="195E09F8">
            <w:pPr>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2</w:t>
            </w:r>
          </w:p>
        </w:tc>
        <w:tc>
          <w:tcPr>
            <w:tcW w:w="1265" w:type="dxa"/>
            <w:shd w:val="clear" w:color="auto" w:fill="auto"/>
            <w:vAlign w:val="center"/>
          </w:tcPr>
          <w:p w14:paraId="4125AA91">
            <w:pPr>
              <w:rPr>
                <w:rFonts w:hint="eastAsia" w:ascii="仿宋" w:hAnsi="仿宋" w:eastAsia="仿宋" w:cs="仿宋"/>
                <w:sz w:val="21"/>
                <w:szCs w:val="21"/>
                <w:lang w:val="en-US" w:eastAsia="zh-CN"/>
              </w:rPr>
            </w:pPr>
            <w:r>
              <w:rPr>
                <w:rFonts w:hint="eastAsia" w:ascii="仿宋" w:hAnsi="仿宋" w:eastAsia="仿宋" w:cs="仿宋"/>
                <w:sz w:val="21"/>
                <w:szCs w:val="21"/>
              </w:rPr>
              <w:t>一种变压器灭火防护装置</w:t>
            </w:r>
          </w:p>
        </w:tc>
        <w:tc>
          <w:tcPr>
            <w:tcW w:w="5245" w:type="dxa"/>
            <w:shd w:val="clear" w:color="auto" w:fill="auto"/>
            <w:vAlign w:val="center"/>
          </w:tcPr>
          <w:p w14:paraId="6BF0A099">
            <w:pPr>
              <w:rPr>
                <w:rFonts w:hint="eastAsia" w:ascii="仿宋" w:hAnsi="仿宋" w:eastAsia="仿宋" w:cs="仿宋"/>
                <w:sz w:val="21"/>
                <w:szCs w:val="21"/>
                <w:lang w:val="en-US" w:eastAsia="zh-CN"/>
              </w:rPr>
            </w:pPr>
            <w:r>
              <w:rPr>
                <w:rFonts w:hint="eastAsia" w:ascii="仿宋" w:hAnsi="仿宋" w:eastAsia="仿宋" w:cs="仿宋"/>
                <w:sz w:val="21"/>
                <w:szCs w:val="21"/>
              </w:rPr>
              <w:t>本发明开发了一种变压器灭火防护装置，通过环绕式灭火组件实现无死角灭火，配合火灾时自动封闭的通风口及具备干燥功能的冷却系统，有效提升灭火效率与设备运行安全性。</w:t>
            </w:r>
          </w:p>
        </w:tc>
        <w:tc>
          <w:tcPr>
            <w:tcW w:w="1701" w:type="dxa"/>
            <w:shd w:val="clear" w:color="auto" w:fill="auto"/>
            <w:vAlign w:val="center"/>
          </w:tcPr>
          <w:p w14:paraId="75620580">
            <w:pPr>
              <w:rPr>
                <w:rFonts w:hint="eastAsia" w:ascii="仿宋" w:hAnsi="仿宋" w:eastAsia="仿宋" w:cs="仿宋"/>
                <w:sz w:val="21"/>
                <w:szCs w:val="21"/>
                <w:lang w:val="en-US" w:eastAsia="zh-CN"/>
              </w:rPr>
            </w:pPr>
            <w:r>
              <w:rPr>
                <w:rFonts w:hint="eastAsia" w:ascii="仿宋" w:hAnsi="仿宋" w:eastAsia="仿宋" w:cs="仿宋"/>
                <w:sz w:val="21"/>
                <w:szCs w:val="21"/>
              </w:rPr>
              <w:t>姚浩伟，秦恒洁，魏晓鸽，宋怀涛，张洋，杨存祥，李酉鑫，赵冠军，梁冬琦，刘彤</w:t>
            </w:r>
          </w:p>
        </w:tc>
        <w:tc>
          <w:tcPr>
            <w:tcW w:w="1134" w:type="dxa"/>
            <w:shd w:val="clear" w:color="auto" w:fill="auto"/>
            <w:vAlign w:val="center"/>
          </w:tcPr>
          <w:p w14:paraId="261895ED">
            <w:pPr>
              <w:rPr>
                <w:rFonts w:hint="eastAsia" w:ascii="仿宋" w:hAnsi="仿宋" w:eastAsia="仿宋" w:cs="仿宋"/>
                <w:sz w:val="21"/>
                <w:szCs w:val="21"/>
                <w:lang w:val="en-US" w:eastAsia="zh-CN"/>
              </w:rPr>
            </w:pPr>
            <w:r>
              <w:rPr>
                <w:rFonts w:hint="eastAsia" w:ascii="仿宋" w:hAnsi="仿宋" w:eastAsia="仿宋" w:cs="仿宋"/>
                <w:sz w:val="21"/>
                <w:szCs w:val="21"/>
              </w:rPr>
              <w:t>所有权（学校10%，成果完成团队90%）</w:t>
            </w:r>
          </w:p>
        </w:tc>
        <w:tc>
          <w:tcPr>
            <w:tcW w:w="709" w:type="dxa"/>
            <w:shd w:val="clear" w:color="auto" w:fill="auto"/>
            <w:vAlign w:val="center"/>
          </w:tcPr>
          <w:p w14:paraId="75F5FA85">
            <w:pPr>
              <w:rPr>
                <w:rFonts w:hint="eastAsia" w:ascii="仿宋" w:hAnsi="仿宋" w:eastAsia="仿宋" w:cs="仿宋"/>
                <w:sz w:val="21"/>
                <w:szCs w:val="21"/>
                <w:lang w:val="en-US" w:eastAsia="zh-CN"/>
              </w:rPr>
            </w:pPr>
            <w:r>
              <w:rPr>
                <w:rFonts w:hint="eastAsia" w:ascii="仿宋" w:hAnsi="仿宋" w:eastAsia="仿宋" w:cs="仿宋"/>
                <w:sz w:val="21"/>
                <w:szCs w:val="21"/>
              </w:rPr>
              <w:t>技术转让</w:t>
            </w:r>
          </w:p>
        </w:tc>
        <w:tc>
          <w:tcPr>
            <w:tcW w:w="1168" w:type="dxa"/>
            <w:shd w:val="clear" w:color="auto" w:fill="auto"/>
            <w:vAlign w:val="center"/>
          </w:tcPr>
          <w:p w14:paraId="76383771">
            <w:pPr>
              <w:rPr>
                <w:rFonts w:hint="eastAsia" w:ascii="仿宋" w:hAnsi="仿宋" w:eastAsia="仿宋" w:cs="仿宋"/>
                <w:sz w:val="21"/>
                <w:szCs w:val="21"/>
                <w:lang w:val="en-US" w:eastAsia="zh-CN"/>
              </w:rPr>
            </w:pPr>
            <w:r>
              <w:rPr>
                <w:rFonts w:hint="eastAsia" w:ascii="仿宋" w:hAnsi="仿宋" w:eastAsia="仿宋" w:cs="仿宋"/>
                <w:sz w:val="21"/>
                <w:szCs w:val="21"/>
              </w:rPr>
              <w:t>10</w:t>
            </w:r>
          </w:p>
        </w:tc>
        <w:tc>
          <w:tcPr>
            <w:tcW w:w="1285" w:type="dxa"/>
            <w:shd w:val="clear" w:color="auto" w:fill="auto"/>
            <w:vAlign w:val="center"/>
          </w:tcPr>
          <w:p w14:paraId="583218AF">
            <w:pPr>
              <w:rPr>
                <w:rFonts w:hint="eastAsia" w:ascii="仿宋" w:hAnsi="仿宋" w:eastAsia="仿宋" w:cs="仿宋"/>
                <w:sz w:val="21"/>
                <w:szCs w:val="21"/>
                <w:lang w:val="en-US" w:eastAsia="zh-CN"/>
              </w:rPr>
            </w:pPr>
            <w:r>
              <w:rPr>
                <w:rFonts w:hint="eastAsia" w:ascii="仿宋" w:hAnsi="仿宋" w:eastAsia="仿宋" w:cs="仿宋"/>
                <w:sz w:val="21"/>
                <w:szCs w:val="21"/>
              </w:rPr>
              <w:t>山东晟运恒电气有限公司</w:t>
            </w:r>
          </w:p>
        </w:tc>
        <w:tc>
          <w:tcPr>
            <w:tcW w:w="786" w:type="dxa"/>
            <w:shd w:val="clear" w:color="auto" w:fill="auto"/>
            <w:vAlign w:val="center"/>
          </w:tcPr>
          <w:p w14:paraId="3CA460AC">
            <w:pPr>
              <w:rPr>
                <w:rFonts w:hint="eastAsia" w:ascii="仿宋" w:hAnsi="仿宋" w:eastAsia="仿宋" w:cs="仿宋"/>
                <w:sz w:val="21"/>
                <w:szCs w:val="21"/>
              </w:rPr>
            </w:pPr>
          </w:p>
        </w:tc>
      </w:tr>
    </w:tbl>
    <w:p w14:paraId="31DA7BFB">
      <w:pPr>
        <w:rPr>
          <w:rFonts w:hint="eastAsia" w:ascii="仿宋" w:hAnsi="仿宋" w:eastAsia="仿宋" w:cs="仿宋"/>
          <w:sz w:val="21"/>
          <w:szCs w:val="21"/>
        </w:rPr>
      </w:pPr>
    </w:p>
    <w:sectPr>
      <w:pgSz w:w="16838" w:h="11906" w:orient="landscape"/>
      <w:pgMar w:top="1800" w:right="1440" w:bottom="1800" w:left="144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简体">
    <w:altName w:val="微软雅黑"/>
    <w:panose1 w:val="00000000000000000000"/>
    <w:charset w:val="86"/>
    <w:family w:val="auto"/>
    <w:pitch w:val="default"/>
    <w:sig w:usb0="00000000" w:usb1="00000000" w:usb2="00000000" w:usb3="00000000" w:csb0="00040000" w:csb1="00000000"/>
  </w:font>
  <w:font w:name="微软雅黑">
    <w:panose1 w:val="020B0503020204020204"/>
    <w:charset w:val="86"/>
    <w:family w:val="auto"/>
    <w:pitch w:val="default"/>
    <w:sig w:usb0="80000287" w:usb1="280F3C52" w:usb2="00000016" w:usb3="00000000" w:csb0="0004001F" w:csb1="00000000"/>
  </w:font>
  <w:font w:name="仿宋">
    <w:panose1 w:val="02010609060101010101"/>
    <w:charset w:val="86"/>
    <w:family w:val="modern"/>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bordersDoNotSurroundHeader w:val="1"/>
  <w:bordersDoNotSurroundFooter w:val="1"/>
  <w:documentProtection w:enforcement="0"/>
  <w:defaultTabStop w:val="420"/>
  <w:drawingGridVerticalSpacing w:val="156"/>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WQ1ZmM5M2NiYzViNjc4ZWU1ODNmMjFmYjE5YjlkNzIifQ=="/>
  </w:docVars>
  <w:rsids>
    <w:rsidRoot w:val="1308507D"/>
    <w:rsid w:val="00032350"/>
    <w:rsid w:val="004C4D70"/>
    <w:rsid w:val="006340BB"/>
    <w:rsid w:val="00667D46"/>
    <w:rsid w:val="0082754A"/>
    <w:rsid w:val="008557FF"/>
    <w:rsid w:val="00983688"/>
    <w:rsid w:val="00C40FD6"/>
    <w:rsid w:val="00C65289"/>
    <w:rsid w:val="00CB0781"/>
    <w:rsid w:val="0F2B62DD"/>
    <w:rsid w:val="1308507D"/>
    <w:rsid w:val="2DFA6145"/>
    <w:rsid w:val="415E2C8C"/>
    <w:rsid w:val="50D852D8"/>
    <w:rsid w:val="58406388"/>
    <w:rsid w:val="7870237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4"/>
      <w:lang w:val="en-US" w:eastAsia="zh-CN" w:bidi="ar-SA"/>
    </w:rPr>
  </w:style>
  <w:style w:type="character" w:default="1" w:styleId="5">
    <w:name w:val="Default Paragraph Font"/>
    <w:semiHidden/>
    <w:unhideWhenUsed/>
    <w:uiPriority w:val="1"/>
  </w:style>
  <w:style w:type="table" w:default="1" w:styleId="4">
    <w:name w:val="Normal Table"/>
    <w:semiHidden/>
    <w:unhideWhenUsed/>
    <w:uiPriority w:val="99"/>
    <w:tblPr>
      <w:tblCellMar>
        <w:top w:w="0" w:type="dxa"/>
        <w:left w:w="108" w:type="dxa"/>
        <w:bottom w:w="0" w:type="dxa"/>
        <w:right w:w="108" w:type="dxa"/>
      </w:tblCellMar>
    </w:tblPr>
  </w:style>
  <w:style w:type="paragraph" w:styleId="2">
    <w:name w:val="footer"/>
    <w:basedOn w:val="1"/>
    <w:link w:val="7"/>
    <w:uiPriority w:val="0"/>
    <w:pPr>
      <w:tabs>
        <w:tab w:val="center" w:pos="4153"/>
        <w:tab w:val="right" w:pos="8306"/>
      </w:tabs>
      <w:snapToGrid w:val="0"/>
      <w:jc w:val="left"/>
    </w:pPr>
    <w:rPr>
      <w:sz w:val="18"/>
      <w:szCs w:val="18"/>
    </w:rPr>
  </w:style>
  <w:style w:type="paragraph" w:styleId="3">
    <w:name w:val="header"/>
    <w:basedOn w:val="1"/>
    <w:link w:val="6"/>
    <w:uiPriority w:val="0"/>
    <w:pPr>
      <w:tabs>
        <w:tab w:val="center" w:pos="4153"/>
        <w:tab w:val="right" w:pos="8306"/>
      </w:tabs>
      <w:snapToGrid w:val="0"/>
      <w:jc w:val="center"/>
    </w:pPr>
    <w:rPr>
      <w:sz w:val="18"/>
      <w:szCs w:val="18"/>
    </w:rPr>
  </w:style>
  <w:style w:type="character" w:customStyle="1" w:styleId="6">
    <w:name w:val="页眉 字符"/>
    <w:basedOn w:val="5"/>
    <w:link w:val="3"/>
    <w:uiPriority w:val="0"/>
    <w:rPr>
      <w:rFonts w:ascii="Calibri" w:hAnsi="Calibri"/>
      <w:kern w:val="2"/>
      <w:sz w:val="18"/>
      <w:szCs w:val="18"/>
    </w:rPr>
  </w:style>
  <w:style w:type="character" w:customStyle="1" w:styleId="7">
    <w:name w:val="页脚 字符"/>
    <w:basedOn w:val="5"/>
    <w:link w:val="2"/>
    <w:uiPriority w:val="0"/>
    <w:rPr>
      <w:rFonts w:ascii="Calibri" w:hAnsi="Calibri"/>
      <w:kern w:val="2"/>
      <w:sz w:val="18"/>
      <w:szCs w:val="18"/>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1</Pages>
  <Words>365</Words>
  <Characters>377</Characters>
  <Lines>3</Lines>
  <Paragraphs>1</Paragraphs>
  <TotalTime>1</TotalTime>
  <ScaleCrop>false</ScaleCrop>
  <LinksUpToDate>false</LinksUpToDate>
  <CharactersWithSpaces>447</CharactersWithSpaces>
  <Application>WPS Office_12.1.0.26895_F1E327BC-269C-435d-A152-05C5408002CA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2022-07-25T00:53:00Z</dcterms:created>
  <dc:creator>文档存本地丢失不负责</dc:creator>
  <cp:lastModifiedBy>鲍雅如</cp:lastModifiedBy>
  <cp:lastPrinted>2026-06-23T03:57:00Z</cp:lastPrinted>
  <dcterms:modified xsi:type="dcterms:W3CDTF">2026-06-26T02:32:35Z</dcterms:modified>
  <cp:revision>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2052-12.1.0.26895</vt:lpwstr>
  </property>
  <property fmtid="{D5CDD505-2E9C-101B-9397-08002B2CF9AE}" pid="3" name="ICV">
    <vt:lpwstr>04E34C3E7BF5406E98A6D3A2BBB78A85_13</vt:lpwstr>
  </property>
  <property fmtid="{D5CDD505-2E9C-101B-9397-08002B2CF9AE}" pid="4" name="KSOTemplateDocerSaveRecord">
    <vt:lpwstr>eyJoZGlkIjoiNjRiMWNhNzcyYTNmZTkwZTQxMjQ2NTA4NDVmOGU4OGYiLCJ1c2VySWQiOiIzMDA5MzIwNzcifQ==</vt:lpwstr>
  </property>
</Properties>
</file>