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9719344">
      <w:pPr>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郑州轻工业</w:t>
      </w:r>
      <w:bookmarkStart w:id="0" w:name="_GoBack"/>
      <w:bookmarkEnd w:id="0"/>
      <w:r>
        <w:rPr>
          <w:rFonts w:hint="eastAsia" w:ascii="方正小标宋简体" w:hAnsi="方正小标宋简体" w:eastAsia="方正小标宋简体" w:cs="方正小标宋简体"/>
          <w:sz w:val="44"/>
          <w:szCs w:val="44"/>
        </w:rPr>
        <w:t>大学科研成果赋权情况表</w:t>
      </w:r>
    </w:p>
    <w:p w14:paraId="2FAC048B">
      <w:pPr>
        <w:spacing w:before="156" w:beforeLines="50"/>
        <w:jc w:val="center"/>
        <w:rPr>
          <w:rFonts w:ascii="仿宋" w:hAnsi="仿宋" w:eastAsia="仿宋" w:cs="仿宋"/>
          <w:sz w:val="28"/>
          <w:szCs w:val="28"/>
        </w:rPr>
      </w:pPr>
      <w:r>
        <w:rPr>
          <w:rFonts w:hint="eastAsia" w:ascii="仿宋" w:hAnsi="仿宋" w:eastAsia="仿宋" w:cs="仿宋"/>
          <w:sz w:val="28"/>
          <w:szCs w:val="28"/>
        </w:rPr>
        <w:t xml:space="preserve">                                                                      时间：202</w:t>
      </w:r>
      <w:r>
        <w:rPr>
          <w:rFonts w:ascii="仿宋" w:hAnsi="仿宋" w:eastAsia="仿宋" w:cs="仿宋"/>
          <w:sz w:val="28"/>
          <w:szCs w:val="28"/>
        </w:rPr>
        <w:t>6</w:t>
      </w:r>
      <w:r>
        <w:rPr>
          <w:rFonts w:hint="eastAsia" w:ascii="仿宋" w:hAnsi="仿宋" w:eastAsia="仿宋" w:cs="仿宋"/>
          <w:sz w:val="28"/>
          <w:szCs w:val="28"/>
        </w:rPr>
        <w:t>年</w:t>
      </w:r>
      <w:r>
        <w:rPr>
          <w:rFonts w:ascii="仿宋" w:hAnsi="仿宋" w:eastAsia="仿宋" w:cs="仿宋"/>
          <w:sz w:val="28"/>
          <w:szCs w:val="28"/>
        </w:rPr>
        <w:t>4</w:t>
      </w:r>
      <w:r>
        <w:rPr>
          <w:rFonts w:hint="eastAsia" w:ascii="仿宋" w:hAnsi="仿宋" w:eastAsia="仿宋" w:cs="仿宋"/>
          <w:sz w:val="28"/>
          <w:szCs w:val="28"/>
        </w:rPr>
        <w:t>月</w:t>
      </w:r>
      <w:r>
        <w:rPr>
          <w:rFonts w:hint="eastAsia" w:ascii="仿宋" w:hAnsi="仿宋" w:eastAsia="仿宋" w:cs="仿宋"/>
          <w:sz w:val="28"/>
          <w:szCs w:val="28"/>
          <w:lang w:val="en-US" w:eastAsia="zh-CN"/>
        </w:rPr>
        <w:t>7</w:t>
      </w:r>
      <w:r>
        <w:rPr>
          <w:rFonts w:hint="eastAsia" w:ascii="仿宋" w:hAnsi="仿宋" w:eastAsia="仿宋" w:cs="仿宋"/>
          <w:sz w:val="28"/>
          <w:szCs w:val="28"/>
        </w:rPr>
        <w:t>日</w:t>
      </w:r>
    </w:p>
    <w:tbl>
      <w:tblPr>
        <w:tblStyle w:val="4"/>
        <w:tblpPr w:leftFromText="180" w:rightFromText="180" w:vertAnchor="text" w:horzAnchor="page" w:tblpX="1551" w:tblpY="435"/>
        <w:tblOverlap w:val="never"/>
        <w:tblW w:w="1383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4"/>
        <w:gridCol w:w="2279"/>
        <w:gridCol w:w="2672"/>
        <w:gridCol w:w="2126"/>
        <w:gridCol w:w="1567"/>
        <w:gridCol w:w="1207"/>
        <w:gridCol w:w="1371"/>
        <w:gridCol w:w="1285"/>
        <w:gridCol w:w="786"/>
      </w:tblGrid>
      <w:tr w14:paraId="262563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6" w:hRule="atLeast"/>
        </w:trPr>
        <w:tc>
          <w:tcPr>
            <w:tcW w:w="544" w:type="dxa"/>
            <w:shd w:val="clear" w:color="auto" w:fill="auto"/>
            <w:vAlign w:val="center"/>
          </w:tcPr>
          <w:p w14:paraId="47896435">
            <w:pPr>
              <w:snapToGrid w:val="0"/>
              <w:spacing w:line="340" w:lineRule="atLeast"/>
              <w:jc w:val="center"/>
              <w:rPr>
                <w:rFonts w:ascii="黑体" w:hAnsi="黑体" w:eastAsia="黑体" w:cs="黑体"/>
                <w:sz w:val="24"/>
              </w:rPr>
            </w:pPr>
            <w:r>
              <w:rPr>
                <w:rFonts w:hint="eastAsia" w:ascii="黑体" w:hAnsi="黑体" w:eastAsia="黑体" w:cs="黑体"/>
                <w:sz w:val="24"/>
              </w:rPr>
              <w:t>序号</w:t>
            </w:r>
          </w:p>
        </w:tc>
        <w:tc>
          <w:tcPr>
            <w:tcW w:w="2279" w:type="dxa"/>
            <w:shd w:val="clear" w:color="auto" w:fill="auto"/>
            <w:vAlign w:val="center"/>
          </w:tcPr>
          <w:p w14:paraId="4B4C24B2">
            <w:pPr>
              <w:snapToGrid w:val="0"/>
              <w:spacing w:line="340" w:lineRule="atLeast"/>
              <w:jc w:val="center"/>
              <w:rPr>
                <w:rFonts w:ascii="黑体" w:hAnsi="黑体" w:eastAsia="黑体" w:cs="黑体"/>
                <w:sz w:val="24"/>
              </w:rPr>
            </w:pPr>
            <w:r>
              <w:rPr>
                <w:rFonts w:hint="eastAsia" w:ascii="黑体" w:hAnsi="黑体" w:eastAsia="黑体" w:cs="黑体"/>
                <w:sz w:val="24"/>
              </w:rPr>
              <w:t>成果名称</w:t>
            </w:r>
          </w:p>
        </w:tc>
        <w:tc>
          <w:tcPr>
            <w:tcW w:w="2672" w:type="dxa"/>
            <w:shd w:val="clear" w:color="auto" w:fill="auto"/>
            <w:vAlign w:val="center"/>
          </w:tcPr>
          <w:p w14:paraId="2846529A">
            <w:pPr>
              <w:snapToGrid w:val="0"/>
              <w:spacing w:line="340" w:lineRule="atLeast"/>
              <w:jc w:val="center"/>
              <w:rPr>
                <w:rFonts w:ascii="黑体" w:hAnsi="黑体" w:eastAsia="黑体" w:cs="黑体"/>
                <w:sz w:val="24"/>
              </w:rPr>
            </w:pPr>
            <w:r>
              <w:rPr>
                <w:rFonts w:hint="eastAsia" w:ascii="黑体" w:hAnsi="黑体" w:eastAsia="黑体" w:cs="黑体"/>
                <w:sz w:val="24"/>
              </w:rPr>
              <w:t>成果内容摘要</w:t>
            </w:r>
          </w:p>
        </w:tc>
        <w:tc>
          <w:tcPr>
            <w:tcW w:w="2126" w:type="dxa"/>
            <w:shd w:val="clear" w:color="auto" w:fill="auto"/>
            <w:vAlign w:val="center"/>
          </w:tcPr>
          <w:p w14:paraId="61F2BF7D">
            <w:pPr>
              <w:snapToGrid w:val="0"/>
              <w:spacing w:line="340" w:lineRule="atLeast"/>
              <w:jc w:val="center"/>
              <w:rPr>
                <w:rFonts w:ascii="黑体" w:hAnsi="黑体" w:eastAsia="黑体" w:cs="黑体"/>
                <w:sz w:val="24"/>
              </w:rPr>
            </w:pPr>
            <w:r>
              <w:rPr>
                <w:rFonts w:hint="eastAsia" w:ascii="黑体" w:hAnsi="黑体" w:eastAsia="黑体" w:cs="黑体"/>
                <w:sz w:val="24"/>
              </w:rPr>
              <w:t>成果完成人</w:t>
            </w:r>
          </w:p>
        </w:tc>
        <w:tc>
          <w:tcPr>
            <w:tcW w:w="1567" w:type="dxa"/>
            <w:shd w:val="clear" w:color="auto" w:fill="auto"/>
            <w:vAlign w:val="center"/>
          </w:tcPr>
          <w:p w14:paraId="71C234A9">
            <w:pPr>
              <w:snapToGrid w:val="0"/>
              <w:spacing w:line="340" w:lineRule="atLeast"/>
              <w:jc w:val="center"/>
              <w:rPr>
                <w:rFonts w:ascii="黑体" w:hAnsi="黑体" w:eastAsia="黑体" w:cs="黑体"/>
                <w:sz w:val="24"/>
              </w:rPr>
            </w:pPr>
            <w:r>
              <w:rPr>
                <w:rFonts w:hint="eastAsia" w:ascii="黑体" w:hAnsi="黑体" w:eastAsia="黑体" w:cs="黑体"/>
                <w:sz w:val="24"/>
              </w:rPr>
              <w:t>赋权类型</w:t>
            </w:r>
          </w:p>
        </w:tc>
        <w:tc>
          <w:tcPr>
            <w:tcW w:w="1207" w:type="dxa"/>
            <w:shd w:val="clear" w:color="auto" w:fill="auto"/>
            <w:vAlign w:val="center"/>
          </w:tcPr>
          <w:p w14:paraId="46C9A86A">
            <w:pPr>
              <w:snapToGrid w:val="0"/>
              <w:spacing w:line="340" w:lineRule="atLeast"/>
              <w:jc w:val="center"/>
              <w:rPr>
                <w:rFonts w:ascii="黑体" w:hAnsi="黑体" w:eastAsia="黑体" w:cs="黑体"/>
                <w:sz w:val="24"/>
              </w:rPr>
            </w:pPr>
            <w:r>
              <w:rPr>
                <w:rFonts w:hint="eastAsia" w:ascii="黑体" w:hAnsi="黑体" w:eastAsia="黑体" w:cs="黑体"/>
                <w:sz w:val="24"/>
              </w:rPr>
              <w:t>转化</w:t>
            </w:r>
          </w:p>
          <w:p w14:paraId="393B35D2">
            <w:pPr>
              <w:snapToGrid w:val="0"/>
              <w:spacing w:line="340" w:lineRule="atLeast"/>
              <w:jc w:val="center"/>
              <w:rPr>
                <w:rFonts w:ascii="黑体" w:hAnsi="黑体" w:eastAsia="黑体" w:cs="黑体"/>
                <w:sz w:val="24"/>
              </w:rPr>
            </w:pPr>
            <w:r>
              <w:rPr>
                <w:rFonts w:hint="eastAsia" w:ascii="黑体" w:hAnsi="黑体" w:eastAsia="黑体" w:cs="黑体"/>
                <w:sz w:val="24"/>
              </w:rPr>
              <w:t>方式</w:t>
            </w:r>
          </w:p>
        </w:tc>
        <w:tc>
          <w:tcPr>
            <w:tcW w:w="1371" w:type="dxa"/>
            <w:shd w:val="clear" w:color="auto" w:fill="auto"/>
            <w:vAlign w:val="center"/>
          </w:tcPr>
          <w:p w14:paraId="6D83E3FB">
            <w:pPr>
              <w:snapToGrid w:val="0"/>
              <w:spacing w:line="340" w:lineRule="atLeast"/>
              <w:jc w:val="center"/>
              <w:rPr>
                <w:rFonts w:ascii="黑体" w:hAnsi="黑体" w:eastAsia="黑体" w:cs="黑体"/>
                <w:sz w:val="24"/>
              </w:rPr>
            </w:pPr>
            <w:r>
              <w:rPr>
                <w:rFonts w:hint="eastAsia" w:ascii="黑体" w:hAnsi="黑体" w:eastAsia="黑体" w:cs="黑体"/>
                <w:sz w:val="24"/>
              </w:rPr>
              <w:t>交易金额（万元）</w:t>
            </w:r>
          </w:p>
        </w:tc>
        <w:tc>
          <w:tcPr>
            <w:tcW w:w="1285" w:type="dxa"/>
            <w:shd w:val="clear" w:color="auto" w:fill="auto"/>
            <w:vAlign w:val="center"/>
          </w:tcPr>
          <w:p w14:paraId="235C5189">
            <w:pPr>
              <w:snapToGrid w:val="0"/>
              <w:spacing w:line="340" w:lineRule="atLeast"/>
              <w:jc w:val="center"/>
              <w:rPr>
                <w:rFonts w:ascii="黑体" w:hAnsi="黑体" w:eastAsia="黑体" w:cs="黑体"/>
                <w:sz w:val="24"/>
              </w:rPr>
            </w:pPr>
            <w:r>
              <w:rPr>
                <w:rFonts w:hint="eastAsia" w:ascii="黑体" w:hAnsi="黑体" w:eastAsia="黑体" w:cs="黑体"/>
                <w:sz w:val="24"/>
              </w:rPr>
              <w:t>受让方</w:t>
            </w:r>
          </w:p>
        </w:tc>
        <w:tc>
          <w:tcPr>
            <w:tcW w:w="786" w:type="dxa"/>
            <w:shd w:val="clear" w:color="auto" w:fill="auto"/>
            <w:vAlign w:val="center"/>
          </w:tcPr>
          <w:p w14:paraId="6A582C67">
            <w:pPr>
              <w:snapToGrid w:val="0"/>
              <w:spacing w:line="340" w:lineRule="atLeast"/>
              <w:jc w:val="center"/>
              <w:rPr>
                <w:rFonts w:ascii="黑体" w:hAnsi="黑体" w:eastAsia="黑体" w:cs="黑体"/>
                <w:sz w:val="24"/>
              </w:rPr>
            </w:pPr>
            <w:r>
              <w:rPr>
                <w:rFonts w:hint="eastAsia" w:ascii="黑体" w:hAnsi="黑体" w:eastAsia="黑体" w:cs="黑体"/>
                <w:sz w:val="24"/>
              </w:rPr>
              <w:t>备注</w:t>
            </w:r>
          </w:p>
        </w:tc>
      </w:tr>
      <w:tr w14:paraId="1400E7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vAlign w:val="center"/>
          </w:tcPr>
          <w:p w14:paraId="462EA6BB">
            <w:pPr>
              <w:snapToGrid w:val="0"/>
              <w:spacing w:line="340" w:lineRule="atLeast"/>
              <w:jc w:val="center"/>
              <w:rPr>
                <w:rFonts w:ascii="黑体" w:hAnsi="黑体" w:eastAsia="黑体" w:cs="黑体"/>
                <w:sz w:val="24"/>
              </w:rPr>
            </w:pPr>
            <w:r>
              <w:rPr>
                <w:rFonts w:hint="eastAsia" w:ascii="黑体" w:hAnsi="黑体" w:eastAsia="黑体" w:cs="黑体"/>
                <w:sz w:val="24"/>
              </w:rPr>
              <w:t>1</w:t>
            </w:r>
          </w:p>
        </w:tc>
        <w:tc>
          <w:tcPr>
            <w:tcW w:w="2279" w:type="dxa"/>
            <w:shd w:val="clear" w:color="auto" w:fill="auto"/>
            <w:vAlign w:val="center"/>
          </w:tcPr>
          <w:p w14:paraId="3F03A61F">
            <w:pPr>
              <w:snapToGrid w:val="0"/>
              <w:spacing w:line="340" w:lineRule="atLeast"/>
              <w:jc w:val="center"/>
              <w:rPr>
                <w:rFonts w:ascii="仿宋" w:hAnsi="仿宋" w:eastAsia="仿宋" w:cs="仿宋"/>
                <w:snapToGrid w:val="0"/>
                <w:spacing w:val="-4"/>
                <w:kern w:val="0"/>
                <w:sz w:val="24"/>
              </w:rPr>
            </w:pPr>
            <w:r>
              <w:rPr>
                <w:rFonts w:hint="eastAsia" w:ascii="仿宋" w:hAnsi="仿宋" w:eastAsia="仿宋" w:cs="仿宋"/>
                <w:snapToGrid w:val="0"/>
                <w:spacing w:val="-4"/>
                <w:kern w:val="0"/>
                <w:sz w:val="24"/>
                <w:lang w:eastAsia="zh-CN"/>
              </w:rPr>
              <w:t>（</w:t>
            </w:r>
            <w:r>
              <w:rPr>
                <w:rFonts w:hint="eastAsia" w:ascii="仿宋" w:hAnsi="仿宋" w:eastAsia="仿宋" w:cs="仿宋"/>
                <w:snapToGrid w:val="0"/>
                <w:spacing w:val="-4"/>
                <w:kern w:val="0"/>
                <w:sz w:val="24"/>
                <w:lang w:val="en-US" w:eastAsia="zh-CN"/>
              </w:rPr>
              <w:t>1</w:t>
            </w:r>
            <w:r>
              <w:rPr>
                <w:rFonts w:hint="eastAsia" w:ascii="仿宋" w:hAnsi="仿宋" w:eastAsia="仿宋" w:cs="仿宋"/>
                <w:snapToGrid w:val="0"/>
                <w:spacing w:val="-4"/>
                <w:kern w:val="0"/>
                <w:sz w:val="24"/>
                <w:lang w:eastAsia="zh-CN"/>
              </w:rPr>
              <w:t>）</w:t>
            </w:r>
            <w:r>
              <w:rPr>
                <w:rFonts w:hint="eastAsia" w:ascii="仿宋" w:hAnsi="仿宋" w:eastAsia="仿宋" w:cs="仿宋"/>
                <w:snapToGrid w:val="0"/>
                <w:spacing w:val="-4"/>
                <w:kern w:val="0"/>
                <w:sz w:val="24"/>
              </w:rPr>
              <w:t>基于自适应混沌粒子群优化的低照度彩色图像增强方法</w:t>
            </w:r>
            <w:r>
              <w:rPr>
                <w:rFonts w:hint="eastAsia" w:ascii="仿宋" w:hAnsi="仿宋" w:eastAsia="仿宋" w:cs="仿宋"/>
                <w:snapToGrid w:val="0"/>
                <w:spacing w:val="-4"/>
                <w:kern w:val="0"/>
                <w:sz w:val="24"/>
                <w:lang w:eastAsia="zh-CN"/>
              </w:rPr>
              <w:t>（</w:t>
            </w:r>
            <w:r>
              <w:rPr>
                <w:rFonts w:hint="eastAsia" w:ascii="仿宋" w:hAnsi="仿宋" w:eastAsia="仿宋" w:cs="仿宋"/>
                <w:snapToGrid w:val="0"/>
                <w:spacing w:val="-4"/>
                <w:kern w:val="0"/>
                <w:sz w:val="24"/>
                <w:lang w:val="en-US" w:eastAsia="zh-CN"/>
              </w:rPr>
              <w:t>2</w:t>
            </w:r>
            <w:r>
              <w:rPr>
                <w:rFonts w:hint="eastAsia" w:ascii="仿宋" w:hAnsi="仿宋" w:eastAsia="仿宋" w:cs="仿宋"/>
                <w:snapToGrid w:val="0"/>
                <w:spacing w:val="-4"/>
                <w:kern w:val="0"/>
                <w:sz w:val="24"/>
                <w:lang w:eastAsia="zh-CN"/>
              </w:rPr>
              <w:t>）</w:t>
            </w:r>
            <w:r>
              <w:rPr>
                <w:rFonts w:hint="eastAsia" w:ascii="仿宋" w:hAnsi="仿宋" w:eastAsia="仿宋" w:cs="仿宋"/>
                <w:snapToGrid w:val="0"/>
                <w:spacing w:val="-4"/>
                <w:kern w:val="0"/>
                <w:sz w:val="24"/>
              </w:rPr>
              <w:t>基于布谷鸟搜索的矿井下图像增强方法</w:t>
            </w:r>
            <w:r>
              <w:rPr>
                <w:rFonts w:hint="eastAsia" w:ascii="仿宋" w:hAnsi="仿宋" w:eastAsia="仿宋" w:cs="仿宋"/>
                <w:snapToGrid w:val="0"/>
                <w:spacing w:val="-4"/>
                <w:kern w:val="0"/>
                <w:sz w:val="24"/>
                <w:lang w:eastAsia="zh-CN"/>
              </w:rPr>
              <w:t>（</w:t>
            </w:r>
            <w:r>
              <w:rPr>
                <w:rFonts w:hint="eastAsia" w:ascii="仿宋" w:hAnsi="仿宋" w:eastAsia="仿宋" w:cs="仿宋"/>
                <w:snapToGrid w:val="0"/>
                <w:spacing w:val="-4"/>
                <w:kern w:val="0"/>
                <w:sz w:val="24"/>
                <w:lang w:val="en-US" w:eastAsia="zh-CN"/>
              </w:rPr>
              <w:t>3</w:t>
            </w:r>
            <w:r>
              <w:rPr>
                <w:rFonts w:hint="eastAsia" w:ascii="仿宋" w:hAnsi="仿宋" w:eastAsia="仿宋" w:cs="仿宋"/>
                <w:snapToGrid w:val="0"/>
                <w:spacing w:val="-4"/>
                <w:kern w:val="0"/>
                <w:sz w:val="24"/>
                <w:lang w:eastAsia="zh-CN"/>
              </w:rPr>
              <w:t>）</w:t>
            </w:r>
            <w:r>
              <w:rPr>
                <w:rFonts w:hint="eastAsia" w:ascii="仿宋" w:hAnsi="仿宋" w:eastAsia="仿宋" w:cs="仿宋"/>
                <w:snapToGrid w:val="0"/>
                <w:spacing w:val="-4"/>
                <w:kern w:val="0"/>
                <w:sz w:val="24"/>
              </w:rPr>
              <w:t>一种非均匀照明彩色图像增强方法</w:t>
            </w:r>
          </w:p>
        </w:tc>
        <w:tc>
          <w:tcPr>
            <w:tcW w:w="2672" w:type="dxa"/>
            <w:shd w:val="clear" w:color="auto" w:fill="auto"/>
            <w:vAlign w:val="center"/>
          </w:tcPr>
          <w:p w14:paraId="6B536883">
            <w:pPr>
              <w:spacing w:before="78" w:line="340" w:lineRule="atLeast"/>
              <w:ind w:firstLine="464" w:firstLineChars="200"/>
              <w:jc w:val="left"/>
              <w:rPr>
                <w:rFonts w:ascii="仿宋" w:hAnsi="仿宋" w:eastAsia="仿宋" w:cs="仿宋"/>
                <w:snapToGrid w:val="0"/>
                <w:spacing w:val="-4"/>
                <w:kern w:val="0"/>
                <w:sz w:val="24"/>
              </w:rPr>
            </w:pPr>
            <w:r>
              <w:rPr>
                <w:rFonts w:hint="eastAsia" w:ascii="仿宋" w:hAnsi="仿宋" w:eastAsia="仿宋" w:cs="仿宋"/>
                <w:snapToGrid w:val="0"/>
                <w:spacing w:val="-4"/>
                <w:kern w:val="0"/>
                <w:sz w:val="24"/>
              </w:rPr>
              <w:t>发明专利“基于自适应混沌粒子群优化的低照度彩色图像增强方法”针对不平衡光线下的低照度彩色图像进行增强，能消除图像整体亮度偏低、亮度不均、暗处细节不清晰及饱和度低等现象，解决了图像局部亮区域过度增强以及暗部细节增强效果不佳的问题。发明专利“基于布谷鸟搜索的矿井下图像增强方法”采用布谷鸟搜索算法结合本发明提出的双伽马校正直方图均衡算法BGDPH对图像进行增强处理，相比其它方法增强图像效果更好、明显改善了矿井下图像的视觉效果。发明专利“一种非均匀照明彩色图像增强方法”在对非均匀照明彩色图像增强时，能够有效提升图像的对比度、亮度和饱和度，同时避免产生局部亮区域的过度增强，增强后彩色图像亮度分布均匀、细节突出，保持了图像的自然性，显著提高了图像的视觉效果。</w:t>
            </w:r>
          </w:p>
        </w:tc>
        <w:tc>
          <w:tcPr>
            <w:tcW w:w="2126" w:type="dxa"/>
            <w:shd w:val="clear" w:color="auto" w:fill="auto"/>
            <w:vAlign w:val="center"/>
          </w:tcPr>
          <w:p w14:paraId="1ABEFA25">
            <w:pPr>
              <w:snapToGrid w:val="0"/>
              <w:spacing w:line="340" w:lineRule="atLeast"/>
              <w:jc w:val="left"/>
              <w:rPr>
                <w:rFonts w:ascii="仿宋" w:hAnsi="仿宋" w:eastAsia="仿宋" w:cs="仿宋"/>
                <w:snapToGrid w:val="0"/>
                <w:spacing w:val="-4"/>
                <w:kern w:val="0"/>
                <w:sz w:val="24"/>
              </w:rPr>
            </w:pPr>
            <w:r>
              <w:rPr>
                <w:rFonts w:hint="eastAsia" w:ascii="仿宋" w:hAnsi="仿宋" w:eastAsia="仿宋" w:cs="仿宋"/>
                <w:snapToGrid w:val="0"/>
                <w:spacing w:val="-4"/>
                <w:kern w:val="0"/>
                <w:sz w:val="24"/>
              </w:rPr>
              <w:t>李灿林、毕丽华、刘金华、王华、宋胜利、朱金娟、张卫正、王泽宇、吴青娥、郭锋</w:t>
            </w:r>
          </w:p>
        </w:tc>
        <w:tc>
          <w:tcPr>
            <w:tcW w:w="1567" w:type="dxa"/>
            <w:shd w:val="clear" w:color="auto" w:fill="auto"/>
            <w:vAlign w:val="center"/>
          </w:tcPr>
          <w:p w14:paraId="2B6B3A6C">
            <w:pPr>
              <w:snapToGrid w:val="0"/>
              <w:spacing w:line="340" w:lineRule="atLeast"/>
              <w:jc w:val="center"/>
              <w:rPr>
                <w:rFonts w:ascii="仿宋" w:hAnsi="仿宋" w:eastAsia="仿宋" w:cs="仿宋"/>
                <w:snapToGrid w:val="0"/>
                <w:spacing w:val="-4"/>
                <w:kern w:val="0"/>
                <w:sz w:val="24"/>
              </w:rPr>
            </w:pPr>
            <w:r>
              <w:rPr>
                <w:rFonts w:hint="eastAsia" w:ascii="仿宋" w:hAnsi="仿宋" w:eastAsia="仿宋" w:cs="仿宋"/>
                <w:snapToGrid w:val="0"/>
                <w:spacing w:val="-4"/>
                <w:kern w:val="0"/>
                <w:sz w:val="24"/>
              </w:rPr>
              <w:t>长期使用权（10年）</w:t>
            </w:r>
          </w:p>
        </w:tc>
        <w:tc>
          <w:tcPr>
            <w:tcW w:w="1207" w:type="dxa"/>
            <w:shd w:val="clear" w:color="auto" w:fill="auto"/>
            <w:vAlign w:val="center"/>
          </w:tcPr>
          <w:p w14:paraId="1547B326">
            <w:pPr>
              <w:spacing w:line="340" w:lineRule="atLeast"/>
              <w:jc w:val="center"/>
              <w:rPr>
                <w:rFonts w:ascii="仿宋" w:hAnsi="仿宋" w:eastAsia="仿宋" w:cs="仿宋"/>
                <w:sz w:val="24"/>
              </w:rPr>
            </w:pPr>
            <w:r>
              <w:rPr>
                <w:rFonts w:hint="eastAsia" w:ascii="仿宋" w:hAnsi="仿宋" w:eastAsia="仿宋" w:cs="仿宋"/>
                <w:sz w:val="24"/>
              </w:rPr>
              <w:t>技术许可</w:t>
            </w:r>
          </w:p>
        </w:tc>
        <w:tc>
          <w:tcPr>
            <w:tcW w:w="1371" w:type="dxa"/>
            <w:shd w:val="clear" w:color="auto" w:fill="auto"/>
            <w:vAlign w:val="center"/>
          </w:tcPr>
          <w:p w14:paraId="7A7083AA">
            <w:pPr>
              <w:spacing w:line="340" w:lineRule="atLeast"/>
              <w:jc w:val="center"/>
              <w:rPr>
                <w:rFonts w:ascii="仿宋" w:hAnsi="仿宋" w:eastAsia="仿宋" w:cs="仿宋"/>
                <w:sz w:val="24"/>
              </w:rPr>
            </w:pPr>
            <w:r>
              <w:rPr>
                <w:rFonts w:ascii="仿宋" w:hAnsi="仿宋" w:eastAsia="仿宋" w:cs="仿宋"/>
                <w:sz w:val="24"/>
              </w:rPr>
              <w:t>10</w:t>
            </w:r>
          </w:p>
        </w:tc>
        <w:tc>
          <w:tcPr>
            <w:tcW w:w="1285" w:type="dxa"/>
            <w:shd w:val="clear" w:color="auto" w:fill="auto"/>
            <w:vAlign w:val="center"/>
          </w:tcPr>
          <w:p w14:paraId="47AF3D6E">
            <w:pPr>
              <w:spacing w:line="340" w:lineRule="atLeast"/>
              <w:jc w:val="center"/>
              <w:rPr>
                <w:rFonts w:ascii="仿宋" w:hAnsi="仿宋" w:eastAsia="仿宋" w:cs="仿宋"/>
                <w:snapToGrid w:val="0"/>
                <w:spacing w:val="-3"/>
                <w:kern w:val="0"/>
                <w:sz w:val="24"/>
              </w:rPr>
            </w:pPr>
            <w:r>
              <w:rPr>
                <w:rFonts w:hint="eastAsia" w:ascii="仿宋" w:hAnsi="仿宋" w:eastAsia="仿宋" w:cs="仿宋"/>
                <w:snapToGrid w:val="0"/>
                <w:spacing w:val="-3"/>
                <w:kern w:val="0"/>
                <w:sz w:val="24"/>
              </w:rPr>
              <w:t>郑州和源隆电子科技有限公司</w:t>
            </w:r>
          </w:p>
        </w:tc>
        <w:tc>
          <w:tcPr>
            <w:tcW w:w="786" w:type="dxa"/>
            <w:shd w:val="clear" w:color="auto" w:fill="auto"/>
            <w:vAlign w:val="center"/>
          </w:tcPr>
          <w:p w14:paraId="696445ED">
            <w:pPr>
              <w:spacing w:line="340" w:lineRule="atLeast"/>
              <w:jc w:val="center"/>
              <w:rPr>
                <w:rFonts w:ascii="仿宋" w:hAnsi="仿宋" w:eastAsia="仿宋" w:cs="仿宋"/>
                <w:sz w:val="28"/>
                <w:szCs w:val="28"/>
              </w:rPr>
            </w:pPr>
          </w:p>
        </w:tc>
      </w:tr>
      <w:tr w14:paraId="277679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vAlign w:val="center"/>
          </w:tcPr>
          <w:p w14:paraId="16329FB0">
            <w:pPr>
              <w:snapToGrid w:val="0"/>
              <w:spacing w:line="340" w:lineRule="atLeast"/>
              <w:jc w:val="center"/>
              <w:rPr>
                <w:rFonts w:ascii="黑体" w:hAnsi="黑体" w:eastAsia="黑体" w:cs="黑体"/>
                <w:sz w:val="24"/>
              </w:rPr>
            </w:pPr>
            <w:r>
              <w:rPr>
                <w:rFonts w:ascii="黑体" w:hAnsi="黑体" w:eastAsia="黑体" w:cs="黑体"/>
                <w:sz w:val="24"/>
              </w:rPr>
              <w:t>2</w:t>
            </w:r>
          </w:p>
        </w:tc>
        <w:tc>
          <w:tcPr>
            <w:tcW w:w="2279" w:type="dxa"/>
            <w:shd w:val="clear" w:color="auto" w:fill="auto"/>
            <w:vAlign w:val="center"/>
          </w:tcPr>
          <w:p w14:paraId="4058D0A4">
            <w:pPr>
              <w:snapToGrid w:val="0"/>
              <w:spacing w:line="340" w:lineRule="atLeast"/>
              <w:jc w:val="center"/>
              <w:rPr>
                <w:rFonts w:ascii="仿宋" w:hAnsi="仿宋" w:eastAsia="仿宋" w:cs="仿宋"/>
                <w:snapToGrid w:val="0"/>
                <w:color w:val="000000"/>
                <w:spacing w:val="-4"/>
                <w:kern w:val="0"/>
                <w:sz w:val="24"/>
                <w:szCs w:val="24"/>
                <w:lang w:val="en-US" w:eastAsia="zh-CN" w:bidi="ar-SA"/>
              </w:rPr>
            </w:pPr>
            <w:r>
              <w:rPr>
                <w:rFonts w:hint="eastAsia" w:ascii="仿宋" w:hAnsi="仿宋" w:eastAsia="仿宋" w:cs="仿宋"/>
                <w:snapToGrid w:val="0"/>
                <w:color w:val="000000"/>
                <w:spacing w:val="-4"/>
                <w:kern w:val="0"/>
                <w:sz w:val="24"/>
              </w:rPr>
              <w:t>一种Ni/Au复合纳米线阵列无酶葡萄糖传感器电极及其制备方法</w:t>
            </w:r>
          </w:p>
        </w:tc>
        <w:tc>
          <w:tcPr>
            <w:tcW w:w="2672" w:type="dxa"/>
            <w:shd w:val="clear" w:color="auto" w:fill="auto"/>
            <w:vAlign w:val="center"/>
          </w:tcPr>
          <w:p w14:paraId="3BDC2E64">
            <w:pPr>
              <w:spacing w:before="78" w:line="340" w:lineRule="atLeast"/>
              <w:rPr>
                <w:rFonts w:ascii="仿宋" w:hAnsi="仿宋" w:eastAsia="仿宋" w:cs="仿宋"/>
                <w:snapToGrid w:val="0"/>
                <w:color w:val="000000"/>
                <w:spacing w:val="-4"/>
                <w:kern w:val="0"/>
                <w:sz w:val="24"/>
                <w:szCs w:val="24"/>
                <w:lang w:val="en-US" w:eastAsia="zh-CN" w:bidi="ar-SA"/>
              </w:rPr>
            </w:pPr>
            <w:r>
              <w:rPr>
                <w:rFonts w:hint="eastAsia" w:ascii="仿宋_GB2312" w:eastAsia="仿宋_GB2312"/>
                <w:sz w:val="24"/>
              </w:rPr>
              <w:t>本发明涉及一种Ni/Au复合纳米线阵列无酶葡萄糖传感器电极及其制备方法。该无酶葡萄糖传感器电极采用电沉积法将具有不同电负性的贵金属元素及非贵金属元素构建为双层的纳米线结构，明显提高了电极电流，提高了无酶葡萄糖传感器的灵敏度，解决了制约无酶葡萄糖传感器的应用限制问题。</w:t>
            </w:r>
          </w:p>
        </w:tc>
        <w:tc>
          <w:tcPr>
            <w:tcW w:w="2126" w:type="dxa"/>
            <w:shd w:val="clear" w:color="auto" w:fill="auto"/>
            <w:vAlign w:val="center"/>
          </w:tcPr>
          <w:p w14:paraId="2B56C888">
            <w:pPr>
              <w:snapToGrid w:val="0"/>
              <w:spacing w:line="340" w:lineRule="atLeast"/>
              <w:jc w:val="left"/>
              <w:rPr>
                <w:rFonts w:ascii="仿宋" w:hAnsi="仿宋" w:eastAsia="仿宋" w:cs="仿宋"/>
                <w:snapToGrid w:val="0"/>
                <w:color w:val="000000"/>
                <w:spacing w:val="-4"/>
                <w:kern w:val="0"/>
                <w:sz w:val="24"/>
                <w:szCs w:val="24"/>
                <w:lang w:val="en-US" w:eastAsia="zh-CN" w:bidi="ar-SA"/>
              </w:rPr>
            </w:pPr>
            <w:r>
              <w:rPr>
                <w:rFonts w:hint="eastAsia" w:ascii="仿宋" w:hAnsi="仿宋" w:eastAsia="仿宋" w:cs="仿宋"/>
                <w:snapToGrid w:val="0"/>
                <w:color w:val="000000"/>
                <w:spacing w:val="-4"/>
                <w:kern w:val="0"/>
                <w:sz w:val="24"/>
              </w:rPr>
              <w:t>王玫；周晓斌；刘芳；孟二超；巩飞龙；李峰</w:t>
            </w:r>
          </w:p>
        </w:tc>
        <w:tc>
          <w:tcPr>
            <w:tcW w:w="1567" w:type="dxa"/>
            <w:shd w:val="clear" w:color="auto" w:fill="auto"/>
            <w:vAlign w:val="center"/>
          </w:tcPr>
          <w:p w14:paraId="3626E783">
            <w:pPr>
              <w:snapToGrid w:val="0"/>
              <w:spacing w:line="340" w:lineRule="atLeast"/>
              <w:jc w:val="center"/>
              <w:rPr>
                <w:rFonts w:ascii="仿宋" w:hAnsi="仿宋" w:eastAsia="仿宋" w:cs="仿宋"/>
                <w:snapToGrid w:val="0"/>
                <w:spacing w:val="-4"/>
                <w:kern w:val="0"/>
                <w:sz w:val="24"/>
                <w:szCs w:val="24"/>
                <w:lang w:val="en-US" w:eastAsia="zh-CN" w:bidi="ar-SA"/>
              </w:rPr>
            </w:pPr>
            <w:r>
              <w:rPr>
                <w:rFonts w:hint="eastAsia" w:ascii="仿宋" w:hAnsi="仿宋" w:eastAsia="仿宋" w:cs="仿宋"/>
                <w:snapToGrid w:val="0"/>
                <w:spacing w:val="-4"/>
                <w:kern w:val="0"/>
                <w:sz w:val="24"/>
              </w:rPr>
              <w:t>长期使用权（10年）</w:t>
            </w:r>
          </w:p>
        </w:tc>
        <w:tc>
          <w:tcPr>
            <w:tcW w:w="1207" w:type="dxa"/>
            <w:shd w:val="clear" w:color="auto" w:fill="auto"/>
            <w:vAlign w:val="center"/>
          </w:tcPr>
          <w:p w14:paraId="119FB567">
            <w:pPr>
              <w:spacing w:line="340" w:lineRule="atLeast"/>
              <w:jc w:val="center"/>
              <w:rPr>
                <w:rFonts w:ascii="仿宋" w:hAnsi="仿宋" w:eastAsia="仿宋" w:cs="仿宋"/>
                <w:kern w:val="2"/>
                <w:sz w:val="24"/>
                <w:szCs w:val="24"/>
                <w:lang w:val="en-US" w:eastAsia="zh-CN" w:bidi="ar-SA"/>
              </w:rPr>
            </w:pPr>
            <w:r>
              <w:rPr>
                <w:rFonts w:hint="eastAsia" w:ascii="仿宋" w:hAnsi="仿宋" w:eastAsia="仿宋" w:cs="仿宋"/>
                <w:sz w:val="24"/>
              </w:rPr>
              <w:t>技术许可</w:t>
            </w:r>
          </w:p>
        </w:tc>
        <w:tc>
          <w:tcPr>
            <w:tcW w:w="1371" w:type="dxa"/>
            <w:shd w:val="clear" w:color="auto" w:fill="auto"/>
            <w:vAlign w:val="center"/>
          </w:tcPr>
          <w:p w14:paraId="129F631E">
            <w:pPr>
              <w:spacing w:line="340" w:lineRule="atLeast"/>
              <w:jc w:val="center"/>
              <w:rPr>
                <w:rFonts w:ascii="仿宋" w:hAnsi="仿宋" w:eastAsia="仿宋" w:cs="仿宋"/>
                <w:kern w:val="2"/>
                <w:sz w:val="24"/>
                <w:szCs w:val="24"/>
                <w:lang w:val="en-US" w:eastAsia="zh-CN" w:bidi="ar-SA"/>
              </w:rPr>
            </w:pPr>
            <w:r>
              <w:rPr>
                <w:rFonts w:hint="eastAsia" w:ascii="仿宋" w:hAnsi="仿宋" w:eastAsia="仿宋" w:cs="仿宋"/>
                <w:sz w:val="24"/>
              </w:rPr>
              <w:t>5</w:t>
            </w:r>
            <w:r>
              <w:rPr>
                <w:rFonts w:ascii="仿宋" w:hAnsi="仿宋" w:eastAsia="仿宋" w:cs="仿宋"/>
                <w:sz w:val="24"/>
              </w:rPr>
              <w:t>.00</w:t>
            </w:r>
          </w:p>
        </w:tc>
        <w:tc>
          <w:tcPr>
            <w:tcW w:w="1285" w:type="dxa"/>
            <w:shd w:val="clear" w:color="auto" w:fill="auto"/>
            <w:vAlign w:val="center"/>
          </w:tcPr>
          <w:p w14:paraId="67EE2736">
            <w:pPr>
              <w:spacing w:line="340" w:lineRule="atLeast"/>
              <w:jc w:val="center"/>
              <w:rPr>
                <w:rFonts w:ascii="仿宋" w:hAnsi="仿宋" w:eastAsia="仿宋" w:cs="仿宋"/>
                <w:snapToGrid w:val="0"/>
                <w:color w:val="000000"/>
                <w:spacing w:val="-3"/>
                <w:kern w:val="0"/>
                <w:sz w:val="24"/>
                <w:szCs w:val="24"/>
                <w:lang w:val="en-US" w:eastAsia="zh-CN" w:bidi="ar-SA"/>
              </w:rPr>
            </w:pPr>
            <w:r>
              <w:rPr>
                <w:rFonts w:hint="eastAsia" w:ascii="仿宋" w:hAnsi="仿宋" w:eastAsia="仿宋" w:cs="仿宋"/>
                <w:snapToGrid w:val="0"/>
                <w:color w:val="000000"/>
                <w:spacing w:val="-3"/>
                <w:kern w:val="0"/>
                <w:sz w:val="24"/>
              </w:rPr>
              <w:t>苏州能斯达电子科技有限公司</w:t>
            </w:r>
          </w:p>
        </w:tc>
        <w:tc>
          <w:tcPr>
            <w:tcW w:w="786" w:type="dxa"/>
            <w:shd w:val="clear" w:color="auto" w:fill="auto"/>
            <w:vAlign w:val="center"/>
          </w:tcPr>
          <w:p w14:paraId="2B7445B6">
            <w:pPr>
              <w:spacing w:line="340" w:lineRule="atLeast"/>
              <w:jc w:val="center"/>
              <w:rPr>
                <w:rFonts w:ascii="仿宋" w:hAnsi="仿宋" w:eastAsia="仿宋" w:cs="仿宋"/>
                <w:sz w:val="28"/>
                <w:szCs w:val="28"/>
              </w:rPr>
            </w:pPr>
          </w:p>
        </w:tc>
      </w:tr>
      <w:tr w14:paraId="52D9F2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0" w:type="auto"/>
          </w:tcPr>
          <w:p w14:paraId="77BE5C01">
            <w:pPr>
              <w:snapToGrid w:val="0"/>
              <w:spacing w:line="340" w:lineRule="atLeast"/>
              <w:jc w:val="center"/>
              <w:rPr>
                <w:rFonts w:ascii="黑体" w:hAnsi="黑体" w:eastAsia="黑体" w:cs="黑体"/>
                <w:sz w:val="24"/>
              </w:rPr>
            </w:pPr>
          </w:p>
        </w:tc>
        <w:tc>
          <w:tcPr>
            <w:tcW w:w="0" w:type="auto"/>
            <w:shd w:val="clear" w:color="auto" w:fill="auto"/>
            <w:vAlign w:val="center"/>
          </w:tcPr>
          <w:p w14:paraId="75AFCBD4">
            <w:pPr>
              <w:snapToGrid w:val="0"/>
              <w:spacing w:line="340" w:lineRule="atLeast"/>
              <w:jc w:val="center"/>
              <w:rPr>
                <w:rFonts w:ascii="仿宋" w:hAnsi="仿宋" w:eastAsia="仿宋" w:cs="仿宋"/>
                <w:snapToGrid w:val="0"/>
                <w:color w:val="000000"/>
                <w:spacing w:val="-4"/>
                <w:kern w:val="0"/>
                <w:sz w:val="24"/>
                <w:szCs w:val="24"/>
                <w:lang w:val="en-US" w:eastAsia="zh-CN" w:bidi="ar-SA"/>
              </w:rPr>
            </w:pPr>
            <w:r>
              <w:rPr>
                <w:rFonts w:hint="eastAsia" w:ascii="仿宋" w:hAnsi="仿宋" w:eastAsia="仿宋" w:cs="仿宋"/>
                <w:snapToGrid w:val="0"/>
                <w:color w:val="000000"/>
                <w:spacing w:val="-4"/>
                <w:kern w:val="0"/>
                <w:sz w:val="24"/>
              </w:rPr>
              <w:t>基于PtNi双金属的两电极集成无酶葡萄糖传感器及制备方法</w:t>
            </w:r>
          </w:p>
        </w:tc>
        <w:tc>
          <w:tcPr>
            <w:tcW w:w="0" w:type="auto"/>
            <w:shd w:val="clear" w:color="auto" w:fill="auto"/>
            <w:vAlign w:val="center"/>
          </w:tcPr>
          <w:p w14:paraId="7C8FA55E">
            <w:pPr>
              <w:spacing w:before="78" w:line="340" w:lineRule="atLeast"/>
              <w:rPr>
                <w:rFonts w:ascii="仿宋" w:hAnsi="仿宋" w:eastAsia="仿宋" w:cs="仿宋"/>
                <w:snapToGrid w:val="0"/>
                <w:color w:val="000000"/>
                <w:spacing w:val="-4"/>
                <w:kern w:val="0"/>
                <w:sz w:val="24"/>
                <w:szCs w:val="24"/>
                <w:lang w:val="en-US" w:eastAsia="zh-CN" w:bidi="ar-SA"/>
              </w:rPr>
            </w:pPr>
            <w:r>
              <w:rPr>
                <w:rFonts w:hint="eastAsia" w:ascii="仿宋" w:hAnsi="仿宋" w:eastAsia="仿宋" w:cs="仿宋"/>
                <w:snapToGrid w:val="0"/>
                <w:color w:val="000000"/>
                <w:spacing w:val="-4"/>
                <w:kern w:val="0"/>
                <w:sz w:val="24"/>
              </w:rPr>
              <w:t>本发明涉及一种基于PtNi双金属的两电极集成无酶葡萄糖传感器及制备方法。本发明提出了一种基于PtNi双金属的两电极集成无酶葡萄糖传感器及制备方法，该传感器在同一个芯片上集成了工作电极和对电极，该无酶葡萄糖传感器的敏感材料采用PtNi双金属材料作为敏感材料，且敏感材料自身也是利用MEMS微加工工艺制备而成，不需要载体及额外的敏感材料负载工艺，明显降低了微型葡萄糖传感器的工艺难度，提高了无酶葡萄糖传感器的灵敏度，解决了制约无酶葡萄糖传感器的应用限制问题。</w:t>
            </w:r>
          </w:p>
        </w:tc>
        <w:tc>
          <w:tcPr>
            <w:tcW w:w="0" w:type="auto"/>
            <w:shd w:val="clear" w:color="auto" w:fill="auto"/>
            <w:vAlign w:val="center"/>
          </w:tcPr>
          <w:p w14:paraId="382827A7">
            <w:pPr>
              <w:snapToGrid w:val="0"/>
              <w:spacing w:line="340" w:lineRule="atLeast"/>
              <w:jc w:val="left"/>
              <w:rPr>
                <w:rFonts w:ascii="仿宋" w:hAnsi="仿宋" w:eastAsia="仿宋" w:cs="仿宋"/>
                <w:snapToGrid w:val="0"/>
                <w:color w:val="000000"/>
                <w:spacing w:val="-4"/>
                <w:kern w:val="0"/>
                <w:sz w:val="24"/>
                <w:szCs w:val="24"/>
                <w:lang w:val="en-US" w:eastAsia="zh-CN" w:bidi="ar-SA"/>
              </w:rPr>
            </w:pPr>
            <w:r>
              <w:rPr>
                <w:rFonts w:hint="eastAsia" w:ascii="仿宋" w:hAnsi="仿宋" w:eastAsia="仿宋" w:cs="仿宋"/>
                <w:snapToGrid w:val="0"/>
                <w:color w:val="000000"/>
                <w:spacing w:val="-4"/>
                <w:kern w:val="0"/>
                <w:sz w:val="24"/>
              </w:rPr>
              <w:t>王玫;周晓斌;刘芳;陈冬冬</w:t>
            </w:r>
          </w:p>
        </w:tc>
        <w:tc>
          <w:tcPr>
            <w:tcW w:w="0" w:type="auto"/>
            <w:shd w:val="clear" w:color="auto" w:fill="auto"/>
            <w:vAlign w:val="center"/>
          </w:tcPr>
          <w:p w14:paraId="6FF59760">
            <w:pPr>
              <w:snapToGrid w:val="0"/>
              <w:spacing w:line="340" w:lineRule="atLeast"/>
              <w:jc w:val="center"/>
              <w:rPr>
                <w:rFonts w:ascii="仿宋" w:hAnsi="仿宋" w:eastAsia="仿宋" w:cs="仿宋"/>
                <w:snapToGrid w:val="0"/>
                <w:spacing w:val="-4"/>
                <w:kern w:val="0"/>
                <w:sz w:val="24"/>
                <w:szCs w:val="24"/>
                <w:lang w:val="en-US" w:eastAsia="zh-CN" w:bidi="ar-SA"/>
              </w:rPr>
            </w:pPr>
            <w:r>
              <w:rPr>
                <w:rFonts w:hint="eastAsia" w:ascii="仿宋" w:hAnsi="仿宋" w:eastAsia="仿宋" w:cs="仿宋"/>
                <w:snapToGrid w:val="0"/>
                <w:spacing w:val="-4"/>
                <w:kern w:val="0"/>
                <w:sz w:val="24"/>
              </w:rPr>
              <w:t>长期使用权（10年）</w:t>
            </w:r>
          </w:p>
        </w:tc>
        <w:tc>
          <w:tcPr>
            <w:tcW w:w="0" w:type="auto"/>
            <w:shd w:val="clear" w:color="auto" w:fill="auto"/>
            <w:vAlign w:val="center"/>
          </w:tcPr>
          <w:p w14:paraId="74154120">
            <w:pPr>
              <w:spacing w:line="340" w:lineRule="atLeast"/>
              <w:jc w:val="center"/>
              <w:rPr>
                <w:rFonts w:ascii="仿宋" w:hAnsi="仿宋" w:eastAsia="仿宋" w:cs="仿宋"/>
                <w:kern w:val="2"/>
                <w:sz w:val="24"/>
                <w:szCs w:val="24"/>
                <w:lang w:val="en-US" w:eastAsia="zh-CN" w:bidi="ar-SA"/>
              </w:rPr>
            </w:pPr>
            <w:r>
              <w:rPr>
                <w:rFonts w:hint="eastAsia" w:ascii="仿宋" w:hAnsi="仿宋" w:eastAsia="仿宋" w:cs="仿宋"/>
                <w:sz w:val="24"/>
              </w:rPr>
              <w:t>技术许可</w:t>
            </w:r>
          </w:p>
        </w:tc>
        <w:tc>
          <w:tcPr>
            <w:tcW w:w="0" w:type="auto"/>
            <w:shd w:val="clear" w:color="auto" w:fill="auto"/>
            <w:vAlign w:val="center"/>
          </w:tcPr>
          <w:p w14:paraId="3A6C0119">
            <w:pPr>
              <w:spacing w:line="340" w:lineRule="atLeast"/>
              <w:jc w:val="center"/>
              <w:rPr>
                <w:rFonts w:ascii="仿宋" w:hAnsi="仿宋" w:eastAsia="仿宋" w:cs="仿宋"/>
                <w:kern w:val="2"/>
                <w:sz w:val="24"/>
                <w:szCs w:val="24"/>
                <w:lang w:val="en-US" w:eastAsia="zh-CN" w:bidi="ar-SA"/>
              </w:rPr>
            </w:pPr>
            <w:r>
              <w:rPr>
                <w:rFonts w:hint="eastAsia" w:ascii="仿宋" w:hAnsi="仿宋" w:eastAsia="仿宋" w:cs="仿宋"/>
                <w:sz w:val="24"/>
              </w:rPr>
              <w:t>5</w:t>
            </w:r>
            <w:r>
              <w:rPr>
                <w:rFonts w:ascii="仿宋" w:hAnsi="仿宋" w:eastAsia="仿宋" w:cs="仿宋"/>
                <w:sz w:val="24"/>
              </w:rPr>
              <w:t>.00</w:t>
            </w:r>
          </w:p>
        </w:tc>
        <w:tc>
          <w:tcPr>
            <w:tcW w:w="0" w:type="auto"/>
            <w:shd w:val="clear" w:color="auto" w:fill="auto"/>
            <w:vAlign w:val="center"/>
          </w:tcPr>
          <w:p w14:paraId="6E1D28DD">
            <w:pPr>
              <w:spacing w:line="340" w:lineRule="atLeast"/>
              <w:jc w:val="center"/>
              <w:rPr>
                <w:rFonts w:ascii="仿宋" w:hAnsi="仿宋" w:eastAsia="仿宋" w:cs="仿宋"/>
                <w:snapToGrid w:val="0"/>
                <w:color w:val="000000"/>
                <w:spacing w:val="-3"/>
                <w:kern w:val="0"/>
                <w:sz w:val="24"/>
                <w:szCs w:val="24"/>
                <w:lang w:val="en-US" w:eastAsia="zh-CN" w:bidi="ar-SA"/>
              </w:rPr>
            </w:pPr>
            <w:r>
              <w:rPr>
                <w:rFonts w:hint="eastAsia" w:ascii="仿宋" w:hAnsi="仿宋" w:eastAsia="仿宋" w:cs="仿宋"/>
                <w:snapToGrid w:val="0"/>
                <w:color w:val="000000"/>
                <w:spacing w:val="-3"/>
                <w:kern w:val="0"/>
                <w:sz w:val="24"/>
              </w:rPr>
              <w:t>苏州能斯达电子科技有限公司</w:t>
            </w:r>
          </w:p>
        </w:tc>
        <w:tc>
          <w:tcPr>
            <w:tcW w:w="0" w:type="auto"/>
          </w:tcPr>
          <w:p w14:paraId="1A9BFFAF">
            <w:pPr>
              <w:spacing w:line="340" w:lineRule="atLeast"/>
              <w:jc w:val="center"/>
              <w:rPr>
                <w:rFonts w:ascii="仿宋" w:hAnsi="仿宋" w:eastAsia="仿宋" w:cs="仿宋"/>
                <w:sz w:val="28"/>
                <w:szCs w:val="28"/>
              </w:rPr>
            </w:pPr>
          </w:p>
        </w:tc>
      </w:tr>
      <w:tr w14:paraId="73D88B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0" w:type="auto"/>
          </w:tcPr>
          <w:p w14:paraId="460344EC">
            <w:pPr>
              <w:snapToGrid w:val="0"/>
              <w:spacing w:line="340" w:lineRule="atLeast"/>
              <w:jc w:val="center"/>
              <w:rPr>
                <w:rFonts w:ascii="黑体" w:hAnsi="黑体" w:eastAsia="黑体" w:cs="黑体"/>
                <w:sz w:val="24"/>
              </w:rPr>
            </w:pPr>
          </w:p>
        </w:tc>
        <w:tc>
          <w:tcPr>
            <w:tcW w:w="0" w:type="auto"/>
            <w:shd w:val="clear" w:color="auto" w:fill="auto"/>
            <w:vAlign w:val="center"/>
          </w:tcPr>
          <w:p w14:paraId="6319F5D5">
            <w:pPr>
              <w:snapToGrid w:val="0"/>
              <w:spacing w:line="340" w:lineRule="atLeast"/>
              <w:jc w:val="center"/>
              <w:rPr>
                <w:rFonts w:ascii="仿宋" w:hAnsi="仿宋" w:eastAsia="仿宋" w:cs="仿宋"/>
                <w:snapToGrid w:val="0"/>
                <w:color w:val="000000"/>
                <w:spacing w:val="-4"/>
                <w:kern w:val="0"/>
                <w:sz w:val="24"/>
                <w:szCs w:val="24"/>
                <w:lang w:val="en-US" w:eastAsia="zh-CN" w:bidi="ar-SA"/>
              </w:rPr>
            </w:pPr>
            <w:r>
              <w:rPr>
                <w:rFonts w:hint="eastAsia" w:ascii="仿宋" w:hAnsi="仿宋" w:eastAsia="仿宋" w:cs="仿宋"/>
                <w:snapToGrid w:val="0"/>
                <w:color w:val="000000"/>
                <w:spacing w:val="-4"/>
                <w:kern w:val="0"/>
                <w:sz w:val="24"/>
              </w:rPr>
              <w:t>Ni/Au复合纳米线阵列及其在无酶葡萄糖传感器电极中的应用</w:t>
            </w:r>
          </w:p>
        </w:tc>
        <w:tc>
          <w:tcPr>
            <w:tcW w:w="0" w:type="auto"/>
            <w:shd w:val="clear" w:color="auto" w:fill="auto"/>
            <w:vAlign w:val="center"/>
          </w:tcPr>
          <w:p w14:paraId="6A7C822F">
            <w:pPr>
              <w:spacing w:before="78" w:line="340" w:lineRule="atLeast"/>
              <w:rPr>
                <w:rFonts w:ascii="仿宋" w:hAnsi="仿宋" w:eastAsia="仿宋" w:cs="仿宋"/>
                <w:snapToGrid w:val="0"/>
                <w:color w:val="000000"/>
                <w:spacing w:val="-4"/>
                <w:kern w:val="0"/>
                <w:sz w:val="24"/>
                <w:szCs w:val="24"/>
                <w:lang w:val="en-US" w:eastAsia="zh-CN" w:bidi="ar-SA"/>
              </w:rPr>
            </w:pPr>
            <w:r>
              <w:rPr>
                <w:rFonts w:hint="eastAsia" w:ascii="仿宋" w:hAnsi="仿宋" w:eastAsia="仿宋" w:cs="仿宋"/>
                <w:snapToGrid w:val="0"/>
                <w:color w:val="000000"/>
                <w:spacing w:val="-4"/>
                <w:kern w:val="0"/>
                <w:sz w:val="24"/>
              </w:rPr>
              <w:t>本发明涉及一种Ni/Au复合纳米线阵列及其在无酶葡萄糖传感器电极中的应用。针对纳米材料对葡萄糖传感的反应动力学较慢、特异性识别差导致的无酶葡萄糖传感器灵敏度低、选择性差的问题，本发明提出了一种Ni/Au复合纳米线阵列，基于此纳米线阵列构建了无酶葡萄糖传感器电极。该无酶葡萄糖传感器电极采用电沉积法将具有不同电负性的贵金属元素及非贵金属元素构建为双层的纳米线结构，明显提高了电极电流，提高了无酶葡萄糖传感器的灵敏度，解决了制约无酶葡萄糖传感器的应用限制问题。</w:t>
            </w:r>
          </w:p>
        </w:tc>
        <w:tc>
          <w:tcPr>
            <w:tcW w:w="0" w:type="auto"/>
            <w:shd w:val="clear" w:color="auto" w:fill="auto"/>
            <w:vAlign w:val="center"/>
          </w:tcPr>
          <w:p w14:paraId="4E6169CA">
            <w:pPr>
              <w:snapToGrid w:val="0"/>
              <w:spacing w:line="340" w:lineRule="atLeast"/>
              <w:jc w:val="left"/>
              <w:rPr>
                <w:rFonts w:ascii="仿宋" w:hAnsi="仿宋" w:eastAsia="仿宋" w:cs="仿宋"/>
                <w:snapToGrid w:val="0"/>
                <w:color w:val="000000"/>
                <w:spacing w:val="-4"/>
                <w:kern w:val="0"/>
                <w:sz w:val="24"/>
                <w:szCs w:val="24"/>
                <w:lang w:val="en-US" w:eastAsia="zh-CN" w:bidi="ar-SA"/>
              </w:rPr>
            </w:pPr>
            <w:r>
              <w:rPr>
                <w:rFonts w:hint="eastAsia" w:ascii="仿宋" w:hAnsi="仿宋" w:eastAsia="仿宋" w:cs="仿宋"/>
                <w:snapToGrid w:val="0"/>
                <w:color w:val="000000"/>
                <w:spacing w:val="-4"/>
                <w:kern w:val="0"/>
                <w:sz w:val="24"/>
              </w:rPr>
              <w:t>王玫;周晓斌;刘芳;孟二超;巩飞龙;李峰</w:t>
            </w:r>
          </w:p>
        </w:tc>
        <w:tc>
          <w:tcPr>
            <w:tcW w:w="0" w:type="auto"/>
            <w:shd w:val="clear" w:color="auto" w:fill="auto"/>
            <w:vAlign w:val="center"/>
          </w:tcPr>
          <w:p w14:paraId="4B9DBC94">
            <w:pPr>
              <w:snapToGrid w:val="0"/>
              <w:spacing w:line="340" w:lineRule="atLeast"/>
              <w:jc w:val="center"/>
              <w:rPr>
                <w:rFonts w:ascii="仿宋" w:hAnsi="仿宋" w:eastAsia="仿宋" w:cs="仿宋"/>
                <w:snapToGrid w:val="0"/>
                <w:spacing w:val="-4"/>
                <w:kern w:val="0"/>
                <w:sz w:val="24"/>
                <w:szCs w:val="24"/>
                <w:lang w:val="en-US" w:eastAsia="zh-CN" w:bidi="ar-SA"/>
              </w:rPr>
            </w:pPr>
            <w:r>
              <w:rPr>
                <w:rFonts w:hint="eastAsia" w:ascii="仿宋" w:hAnsi="仿宋" w:eastAsia="仿宋" w:cs="仿宋"/>
                <w:snapToGrid w:val="0"/>
                <w:spacing w:val="-4"/>
                <w:kern w:val="0"/>
                <w:sz w:val="24"/>
              </w:rPr>
              <w:t>长期使用权（10年）</w:t>
            </w:r>
          </w:p>
        </w:tc>
        <w:tc>
          <w:tcPr>
            <w:tcW w:w="0" w:type="auto"/>
            <w:shd w:val="clear" w:color="auto" w:fill="auto"/>
            <w:vAlign w:val="center"/>
          </w:tcPr>
          <w:p w14:paraId="69E7C01F">
            <w:pPr>
              <w:spacing w:line="340" w:lineRule="atLeast"/>
              <w:jc w:val="center"/>
              <w:rPr>
                <w:rFonts w:ascii="仿宋" w:hAnsi="仿宋" w:eastAsia="仿宋" w:cs="仿宋"/>
                <w:kern w:val="2"/>
                <w:sz w:val="24"/>
                <w:szCs w:val="24"/>
                <w:lang w:val="en-US" w:eastAsia="zh-CN" w:bidi="ar-SA"/>
              </w:rPr>
            </w:pPr>
            <w:r>
              <w:rPr>
                <w:rFonts w:hint="eastAsia" w:ascii="仿宋" w:hAnsi="仿宋" w:eastAsia="仿宋" w:cs="仿宋"/>
                <w:sz w:val="24"/>
              </w:rPr>
              <w:t>技术许可</w:t>
            </w:r>
          </w:p>
        </w:tc>
        <w:tc>
          <w:tcPr>
            <w:tcW w:w="0" w:type="auto"/>
            <w:shd w:val="clear" w:color="auto" w:fill="auto"/>
            <w:vAlign w:val="center"/>
          </w:tcPr>
          <w:p w14:paraId="55D05956">
            <w:pPr>
              <w:spacing w:line="340" w:lineRule="atLeast"/>
              <w:jc w:val="center"/>
              <w:rPr>
                <w:rFonts w:ascii="仿宋" w:hAnsi="仿宋" w:eastAsia="仿宋" w:cs="仿宋"/>
                <w:kern w:val="2"/>
                <w:sz w:val="24"/>
                <w:szCs w:val="24"/>
                <w:lang w:val="en-US" w:eastAsia="zh-CN" w:bidi="ar-SA"/>
              </w:rPr>
            </w:pPr>
            <w:r>
              <w:rPr>
                <w:rFonts w:hint="eastAsia" w:ascii="仿宋" w:hAnsi="仿宋" w:eastAsia="仿宋" w:cs="仿宋"/>
                <w:sz w:val="24"/>
              </w:rPr>
              <w:t>5</w:t>
            </w:r>
            <w:r>
              <w:rPr>
                <w:rFonts w:ascii="仿宋" w:hAnsi="仿宋" w:eastAsia="仿宋" w:cs="仿宋"/>
                <w:sz w:val="24"/>
              </w:rPr>
              <w:t>.00</w:t>
            </w:r>
          </w:p>
        </w:tc>
        <w:tc>
          <w:tcPr>
            <w:tcW w:w="0" w:type="auto"/>
            <w:shd w:val="clear" w:color="auto" w:fill="auto"/>
            <w:vAlign w:val="center"/>
          </w:tcPr>
          <w:p w14:paraId="2B12950A">
            <w:pPr>
              <w:spacing w:line="340" w:lineRule="atLeast"/>
              <w:jc w:val="center"/>
              <w:rPr>
                <w:rFonts w:ascii="仿宋" w:hAnsi="仿宋" w:eastAsia="仿宋" w:cs="仿宋"/>
                <w:snapToGrid w:val="0"/>
                <w:color w:val="000000"/>
                <w:spacing w:val="-3"/>
                <w:kern w:val="0"/>
                <w:sz w:val="24"/>
                <w:szCs w:val="24"/>
                <w:lang w:val="en-US" w:eastAsia="zh-CN" w:bidi="ar-SA"/>
              </w:rPr>
            </w:pPr>
            <w:r>
              <w:rPr>
                <w:rFonts w:hint="eastAsia" w:ascii="仿宋" w:hAnsi="仿宋" w:eastAsia="仿宋" w:cs="仿宋"/>
                <w:snapToGrid w:val="0"/>
                <w:color w:val="000000"/>
                <w:spacing w:val="-3"/>
                <w:kern w:val="0"/>
                <w:sz w:val="24"/>
              </w:rPr>
              <w:t>苏州能斯达电子科技有限公司</w:t>
            </w:r>
          </w:p>
        </w:tc>
        <w:tc>
          <w:tcPr>
            <w:tcW w:w="0" w:type="auto"/>
          </w:tcPr>
          <w:p w14:paraId="0FC1D3E6">
            <w:pPr>
              <w:spacing w:line="340" w:lineRule="atLeast"/>
              <w:jc w:val="center"/>
              <w:rPr>
                <w:rFonts w:ascii="仿宋" w:hAnsi="仿宋" w:eastAsia="仿宋" w:cs="仿宋"/>
                <w:sz w:val="28"/>
                <w:szCs w:val="28"/>
              </w:rPr>
            </w:pPr>
          </w:p>
        </w:tc>
      </w:tr>
    </w:tbl>
    <w:p w14:paraId="3F972AB8"/>
    <w:p w14:paraId="434F8E90"/>
    <w:p w14:paraId="3D341B5D"/>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Arial Unicode MS"/>
    <w:panose1 w:val="02000000000000000000"/>
    <w:charset w:val="86"/>
    <w:family w:val="auto"/>
    <w:pitch w:val="default"/>
    <w:sig w:usb0="00000000" w:usb1="00000000" w:usb2="00000012" w:usb3="00000000" w:csb0="00040001"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1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Q1ZmM5M2NiYzViNjc4ZWU1ODNmMjFmYjE5YjlkNzIifQ=="/>
  </w:docVars>
  <w:rsids>
    <w:rsidRoot w:val="1308507D"/>
    <w:rsid w:val="0002699B"/>
    <w:rsid w:val="00182D7D"/>
    <w:rsid w:val="002F335A"/>
    <w:rsid w:val="005B71EA"/>
    <w:rsid w:val="006140B1"/>
    <w:rsid w:val="006F2227"/>
    <w:rsid w:val="007204AC"/>
    <w:rsid w:val="00750B99"/>
    <w:rsid w:val="00780459"/>
    <w:rsid w:val="0082214C"/>
    <w:rsid w:val="00873106"/>
    <w:rsid w:val="00B63557"/>
    <w:rsid w:val="00BD1D6A"/>
    <w:rsid w:val="00C06EE5"/>
    <w:rsid w:val="00C92DD7"/>
    <w:rsid w:val="00CE67F0"/>
    <w:rsid w:val="00EB2FFB"/>
    <w:rsid w:val="0F2B62DD"/>
    <w:rsid w:val="1308507D"/>
    <w:rsid w:val="415E2C8C"/>
    <w:rsid w:val="48187C43"/>
    <w:rsid w:val="50D852D8"/>
    <w:rsid w:val="58406388"/>
    <w:rsid w:val="787023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qFormat/>
    <w:uiPriority w:val="0"/>
    <w:pPr>
      <w:tabs>
        <w:tab w:val="center" w:pos="4153"/>
        <w:tab w:val="right" w:pos="8306"/>
      </w:tabs>
      <w:snapToGrid w:val="0"/>
      <w:jc w:val="left"/>
    </w:pPr>
    <w:rPr>
      <w:sz w:val="18"/>
      <w:szCs w:val="18"/>
    </w:rPr>
  </w:style>
  <w:style w:type="paragraph" w:styleId="3">
    <w:name w:val="header"/>
    <w:basedOn w:val="1"/>
    <w:link w:val="6"/>
    <w:qFormat/>
    <w:uiPriority w:val="0"/>
    <w:pPr>
      <w:pBdr>
        <w:bottom w:val="single" w:color="auto" w:sz="6" w:space="1"/>
      </w:pBdr>
      <w:tabs>
        <w:tab w:val="center" w:pos="4153"/>
        <w:tab w:val="right" w:pos="8306"/>
      </w:tabs>
      <w:snapToGrid w:val="0"/>
      <w:jc w:val="center"/>
    </w:pPr>
    <w:rPr>
      <w:sz w:val="18"/>
      <w:szCs w:val="18"/>
    </w:rPr>
  </w:style>
  <w:style w:type="character" w:customStyle="1" w:styleId="6">
    <w:name w:val="页眉 字符"/>
    <w:basedOn w:val="5"/>
    <w:link w:val="3"/>
    <w:qFormat/>
    <w:uiPriority w:val="0"/>
    <w:rPr>
      <w:rFonts w:ascii="Calibri" w:hAnsi="Calibri"/>
      <w:kern w:val="2"/>
      <w:sz w:val="18"/>
      <w:szCs w:val="18"/>
    </w:rPr>
  </w:style>
  <w:style w:type="character" w:customStyle="1" w:styleId="7">
    <w:name w:val="页脚 字符"/>
    <w:basedOn w:val="5"/>
    <w:link w:val="2"/>
    <w:qFormat/>
    <w:uiPriority w:val="0"/>
    <w:rPr>
      <w:rFonts w:ascii="Calibri" w:hAnsi="Calibri"/>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5</Pages>
  <Words>510</Words>
  <Characters>519</Characters>
  <Lines>4</Lines>
  <Paragraphs>1</Paragraphs>
  <TotalTime>2</TotalTime>
  <ScaleCrop>false</ScaleCrop>
  <LinksUpToDate>false</LinksUpToDate>
  <CharactersWithSpaces>589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2022-07-25T00:53:00Z</dcterms:created>
  <dc:creator>文档存本地丢失不负责</dc:creator>
  <cp:lastModifiedBy>鲍雅如</cp:lastModifiedBy>
  <cp:lastPrinted>2022-07-25T02:39:00Z</cp:lastPrinted>
  <dcterms:modified xsi:type="dcterms:W3CDTF">2026-04-07T09:37:17Z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04E34C3E7BF5406E98A6D3A2BBB78A85_13</vt:lpwstr>
  </property>
  <property fmtid="{D5CDD505-2E9C-101B-9397-08002B2CF9AE}" pid="4" name="KSOTemplateDocerSaveRecord">
    <vt:lpwstr>eyJoZGlkIjoiNjRiMWNhNzcyYTNmZTkwZTQxMjQ2NTA4NDVmOGU4OGYiLCJ1c2VySWQiOiIzMDA5MzIwNzcifQ==</vt:lpwstr>
  </property>
</Properties>
</file>