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6C5967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郑州轻工业大学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科研成果赋权情况表</w:t>
      </w:r>
    </w:p>
    <w:p w14:paraId="1A4B0E85">
      <w:pPr>
        <w:spacing w:before="156" w:beforeLines="50"/>
        <w:jc w:val="center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                                                       时间：202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11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12</w:t>
      </w:r>
      <w:r>
        <w:rPr>
          <w:rFonts w:hint="eastAsia" w:ascii="仿宋" w:hAnsi="仿宋" w:eastAsia="仿宋" w:cs="仿宋"/>
          <w:sz w:val="28"/>
          <w:szCs w:val="28"/>
        </w:rPr>
        <w:t>日</w:t>
      </w:r>
    </w:p>
    <w:tbl>
      <w:tblPr>
        <w:tblStyle w:val="2"/>
        <w:tblpPr w:leftFromText="180" w:rightFromText="180" w:vertAnchor="text" w:horzAnchor="page" w:tblpX="1551" w:tblpY="435"/>
        <w:tblOverlap w:val="never"/>
        <w:tblW w:w="138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4"/>
        <w:gridCol w:w="2279"/>
        <w:gridCol w:w="2969"/>
        <w:gridCol w:w="1440"/>
        <w:gridCol w:w="1956"/>
        <w:gridCol w:w="1207"/>
        <w:gridCol w:w="1371"/>
        <w:gridCol w:w="1285"/>
        <w:gridCol w:w="786"/>
      </w:tblGrid>
      <w:tr w14:paraId="05021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544" w:type="dxa"/>
            <w:shd w:val="clear" w:color="auto" w:fill="auto"/>
            <w:noWrap w:val="0"/>
            <w:vAlign w:val="center"/>
          </w:tcPr>
          <w:p w14:paraId="7160C0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atLeast"/>
              <w:jc w:val="center"/>
              <w:textAlignment w:val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2279" w:type="dxa"/>
            <w:shd w:val="clear" w:color="auto" w:fill="auto"/>
            <w:noWrap w:val="0"/>
            <w:vAlign w:val="center"/>
          </w:tcPr>
          <w:p w14:paraId="325238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atLeast"/>
              <w:jc w:val="center"/>
              <w:textAlignment w:val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成果名称</w:t>
            </w:r>
          </w:p>
        </w:tc>
        <w:tc>
          <w:tcPr>
            <w:tcW w:w="2969" w:type="dxa"/>
            <w:shd w:val="clear" w:color="auto" w:fill="auto"/>
            <w:noWrap w:val="0"/>
            <w:vAlign w:val="center"/>
          </w:tcPr>
          <w:p w14:paraId="42C2F8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atLeast"/>
              <w:jc w:val="center"/>
              <w:textAlignment w:val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成果内容摘要</w:t>
            </w:r>
          </w:p>
        </w:tc>
        <w:tc>
          <w:tcPr>
            <w:tcW w:w="1440" w:type="dxa"/>
            <w:shd w:val="clear" w:color="auto" w:fill="auto"/>
            <w:noWrap w:val="0"/>
            <w:vAlign w:val="center"/>
          </w:tcPr>
          <w:p w14:paraId="0B47A2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atLeast"/>
              <w:jc w:val="center"/>
              <w:textAlignment w:val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成果完成人</w:t>
            </w:r>
          </w:p>
        </w:tc>
        <w:tc>
          <w:tcPr>
            <w:tcW w:w="1956" w:type="dxa"/>
            <w:shd w:val="clear" w:color="auto" w:fill="auto"/>
            <w:noWrap w:val="0"/>
            <w:vAlign w:val="center"/>
          </w:tcPr>
          <w:p w14:paraId="74F35F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atLeast"/>
              <w:jc w:val="center"/>
              <w:textAlignment w:val="auto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赋权类型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 w14:paraId="53E39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atLeast"/>
              <w:jc w:val="center"/>
              <w:textAlignment w:val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转化</w:t>
            </w:r>
          </w:p>
          <w:p w14:paraId="4BA72D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atLeast"/>
              <w:jc w:val="center"/>
              <w:textAlignment w:val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方式</w:t>
            </w:r>
          </w:p>
        </w:tc>
        <w:tc>
          <w:tcPr>
            <w:tcW w:w="1371" w:type="dxa"/>
            <w:shd w:val="clear" w:color="auto" w:fill="auto"/>
            <w:noWrap w:val="0"/>
            <w:vAlign w:val="center"/>
          </w:tcPr>
          <w:p w14:paraId="6A87F5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atLeast"/>
              <w:jc w:val="center"/>
              <w:textAlignment w:val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交易金额（万</w:t>
            </w: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元</w:t>
            </w:r>
            <w:r>
              <w:rPr>
                <w:rFonts w:hint="eastAsia" w:ascii="黑体" w:hAnsi="黑体" w:eastAsia="黑体" w:cs="黑体"/>
                <w:sz w:val="24"/>
              </w:rPr>
              <w:t>）</w:t>
            </w:r>
          </w:p>
        </w:tc>
        <w:tc>
          <w:tcPr>
            <w:tcW w:w="1285" w:type="dxa"/>
            <w:shd w:val="clear" w:color="auto" w:fill="auto"/>
            <w:noWrap w:val="0"/>
            <w:vAlign w:val="center"/>
          </w:tcPr>
          <w:p w14:paraId="5258A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atLeast"/>
              <w:jc w:val="center"/>
              <w:textAlignment w:val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受让方</w:t>
            </w:r>
          </w:p>
        </w:tc>
        <w:tc>
          <w:tcPr>
            <w:tcW w:w="786" w:type="dxa"/>
            <w:shd w:val="clear" w:color="auto" w:fill="auto"/>
            <w:noWrap w:val="0"/>
            <w:vAlign w:val="center"/>
          </w:tcPr>
          <w:p w14:paraId="5CFE51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40" w:lineRule="atLeast"/>
              <w:jc w:val="center"/>
              <w:textAlignment w:val="auto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</w:t>
            </w:r>
          </w:p>
        </w:tc>
      </w:tr>
      <w:tr w14:paraId="3FC3D9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544" w:type="dxa"/>
            <w:shd w:val="clear" w:color="auto" w:fill="auto"/>
            <w:noWrap w:val="0"/>
            <w:vAlign w:val="center"/>
          </w:tcPr>
          <w:p w14:paraId="2975C4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2279" w:type="dxa"/>
            <w:shd w:val="clear" w:color="auto" w:fill="auto"/>
            <w:noWrap w:val="0"/>
            <w:vAlign w:val="center"/>
          </w:tcPr>
          <w:p w14:paraId="53C5E8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  <w:t>一种用于应急场景可抛布设的无线传感器节点及使用方法</w:t>
            </w:r>
          </w:p>
        </w:tc>
        <w:tc>
          <w:tcPr>
            <w:tcW w:w="2969" w:type="dxa"/>
            <w:shd w:val="clear" w:color="auto" w:fill="auto"/>
            <w:noWrap w:val="0"/>
            <w:vAlign w:val="center"/>
          </w:tcPr>
          <w:p w14:paraId="394EB2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  <w:t>本发明采用可抛布设的方式提高无线传感器节点布设的效率；采用不倒翁形的设计可以在抛撒布设时，保证传感单元、天线的方向性；采用防水防火的壳体材料，可以提高无线传感器节点的测量环境的适应性能。</w:t>
            </w:r>
          </w:p>
        </w:tc>
        <w:tc>
          <w:tcPr>
            <w:tcW w:w="1440" w:type="dxa"/>
            <w:shd w:val="clear" w:color="auto" w:fill="auto"/>
            <w:noWrap w:val="0"/>
            <w:vAlign w:val="center"/>
          </w:tcPr>
          <w:p w14:paraId="6C3DBD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  <w:t>席广永，王丽萍，张涛，邹东尧，马江涛</w:t>
            </w:r>
          </w:p>
        </w:tc>
        <w:tc>
          <w:tcPr>
            <w:tcW w:w="1956" w:type="dxa"/>
            <w:shd w:val="clear" w:color="auto" w:fill="auto"/>
            <w:noWrap w:val="0"/>
            <w:vAlign w:val="center"/>
          </w:tcPr>
          <w:p w14:paraId="1141B9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  <w:t>长期使用权（10年）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 w14:paraId="7E0B9E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技术许可</w:t>
            </w:r>
          </w:p>
          <w:p w14:paraId="7622D2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71" w:type="dxa"/>
            <w:shd w:val="clear" w:color="auto" w:fill="auto"/>
            <w:noWrap w:val="0"/>
            <w:vAlign w:val="center"/>
          </w:tcPr>
          <w:p w14:paraId="465C75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  <w:t>3.1</w:t>
            </w:r>
          </w:p>
        </w:tc>
        <w:tc>
          <w:tcPr>
            <w:tcW w:w="1285" w:type="dxa"/>
            <w:shd w:val="clear" w:color="auto" w:fill="auto"/>
            <w:noWrap w:val="0"/>
            <w:vAlign w:val="center"/>
          </w:tcPr>
          <w:p w14:paraId="0DCAEB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1"/>
                <w:szCs w:val="21"/>
                <w:lang w:val="en-US" w:eastAsia="zh-CN" w:bidi="ar-SA"/>
              </w:rPr>
              <w:t>河南宝明祥自动化设备有限公司</w:t>
            </w:r>
          </w:p>
        </w:tc>
        <w:tc>
          <w:tcPr>
            <w:tcW w:w="786" w:type="dxa"/>
            <w:shd w:val="clear" w:color="auto" w:fill="auto"/>
            <w:noWrap w:val="0"/>
            <w:vAlign w:val="center"/>
          </w:tcPr>
          <w:p w14:paraId="21F2D8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33E501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544" w:type="dxa"/>
            <w:shd w:val="clear" w:color="auto" w:fill="auto"/>
            <w:noWrap w:val="0"/>
            <w:vAlign w:val="center"/>
          </w:tcPr>
          <w:p w14:paraId="3C6F31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2279" w:type="dxa"/>
            <w:shd w:val="clear" w:color="auto" w:fill="auto"/>
            <w:noWrap w:val="0"/>
            <w:vAlign w:val="center"/>
          </w:tcPr>
          <w:p w14:paraId="459BD4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一种抗坏血酸乙基醚的制备工艺</w:t>
            </w:r>
          </w:p>
        </w:tc>
        <w:tc>
          <w:tcPr>
            <w:tcW w:w="2969" w:type="dxa"/>
            <w:shd w:val="clear" w:color="auto" w:fill="auto"/>
            <w:noWrap w:val="0"/>
            <w:vAlign w:val="center"/>
          </w:tcPr>
          <w:p w14:paraId="231A88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78" w:line="640" w:lineRule="exact"/>
              <w:ind w:firstLine="404" w:firstLineChars="200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本发明涉及一种抗坏血酸乙基醚的制备工艺，以抗坏血酸和丙酮为原料，在草酰氯催化下反应8-10小时得到5,6-O-异亚丙基-L-抗坏血酸；将乙基化试剂、无机碱、5,6-O-异亚丙基-L-抗坏血酸溶于乙醇中，40-60℃条件下反应6-8小时，提纯得到3-乙基-5,6-O-异亚丙基-L-抗坏血酸；脱除保护基团，重结晶得到抗坏血酸乙基醚。与传统工艺相比，丙酮可重复使用，不产生大量废液。工艺过程易于控制，原料易得，收率高，易于工业化推广。</w:t>
            </w:r>
          </w:p>
        </w:tc>
        <w:tc>
          <w:tcPr>
            <w:tcW w:w="1440" w:type="dxa"/>
            <w:shd w:val="clear" w:color="auto" w:fill="auto"/>
            <w:noWrap w:val="0"/>
            <w:vAlign w:val="center"/>
          </w:tcPr>
          <w:p w14:paraId="088D18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left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钱恒玉、朱金辉、尹志刚、彭东来</w:t>
            </w:r>
          </w:p>
        </w:tc>
        <w:tc>
          <w:tcPr>
            <w:tcW w:w="1956" w:type="dxa"/>
            <w:shd w:val="clear" w:color="auto" w:fill="auto"/>
            <w:noWrap w:val="0"/>
            <w:vAlign w:val="center"/>
          </w:tcPr>
          <w:p w14:paraId="1169BF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  <w:lang w:eastAsia="zh-CN"/>
              </w:rPr>
              <w:t>长期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1"/>
                <w:szCs w:val="21"/>
              </w:rPr>
              <w:t>使用权（10年）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 w14:paraId="56A102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技术许可</w:t>
            </w:r>
          </w:p>
        </w:tc>
        <w:tc>
          <w:tcPr>
            <w:tcW w:w="1371" w:type="dxa"/>
            <w:shd w:val="clear" w:color="auto" w:fill="auto"/>
            <w:noWrap w:val="0"/>
            <w:vAlign w:val="center"/>
          </w:tcPr>
          <w:p w14:paraId="672563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3.1</w:t>
            </w:r>
          </w:p>
        </w:tc>
        <w:tc>
          <w:tcPr>
            <w:tcW w:w="1285" w:type="dxa"/>
            <w:shd w:val="clear" w:color="auto" w:fill="auto"/>
            <w:noWrap w:val="0"/>
            <w:vAlign w:val="center"/>
          </w:tcPr>
          <w:p w14:paraId="1CFEB3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信阳西涯生物科技有限公司</w:t>
            </w:r>
          </w:p>
        </w:tc>
        <w:tc>
          <w:tcPr>
            <w:tcW w:w="786" w:type="dxa"/>
            <w:shd w:val="clear" w:color="auto" w:fill="auto"/>
            <w:noWrap w:val="0"/>
            <w:vAlign w:val="center"/>
          </w:tcPr>
          <w:p w14:paraId="105CA4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</w:tbl>
    <w:p w14:paraId="7EECB8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40" w:lineRule="exact"/>
        <w:textAlignment w:val="auto"/>
        <w:rPr>
          <w:rFonts w:hint="eastAsia" w:ascii="仿宋" w:hAnsi="仿宋" w:eastAsia="仿宋" w:cs="仿宋"/>
          <w:sz w:val="21"/>
          <w:szCs w:val="21"/>
        </w:rPr>
      </w:pPr>
    </w:p>
    <w:p w14:paraId="13463500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1ZmM5M2NiYzViNjc4ZWU1ODNmMjFmYjE5YjlkNzIifQ=="/>
  </w:docVars>
  <w:rsids>
    <w:rsidRoot w:val="1308507D"/>
    <w:rsid w:val="082961F6"/>
    <w:rsid w:val="0C087B18"/>
    <w:rsid w:val="0F2B62DD"/>
    <w:rsid w:val="11AA3420"/>
    <w:rsid w:val="1308507D"/>
    <w:rsid w:val="2CE3352F"/>
    <w:rsid w:val="415E2C8C"/>
    <w:rsid w:val="50D852D8"/>
    <w:rsid w:val="533B56AA"/>
    <w:rsid w:val="58406388"/>
    <w:rsid w:val="68F83C5D"/>
    <w:rsid w:val="736F3514"/>
    <w:rsid w:val="7870237F"/>
    <w:rsid w:val="7BF57E15"/>
    <w:rsid w:val="7C240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228</Words>
  <Characters>236</Characters>
  <Lines>0</Lines>
  <Paragraphs>0</Paragraphs>
  <TotalTime>1</TotalTime>
  <ScaleCrop>false</ScaleCrop>
  <LinksUpToDate>false</LinksUpToDate>
  <CharactersWithSpaces>306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2022-07-25T00:53:00Z</dcterms:created>
  <dc:creator>文档存本地丢失不负责</dc:creator>
  <cp:lastModifiedBy>鲍雅如</cp:lastModifiedBy>
  <cp:lastPrinted>2022-07-25T02:39:00Z</cp:lastPrinted>
  <dcterms:modified xsi:type="dcterms:W3CDTF">2025-11-13T09:04:52Z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04E34C3E7BF5406E98A6D3A2BBB78A85_13</vt:lpwstr>
  </property>
  <property fmtid="{D5CDD505-2E9C-101B-9397-08002B2CF9AE}" pid="4" name="KSOTemplateDocerSaveRecord">
    <vt:lpwstr>eyJoZGlkIjoiNjRiMWNhNzcyYTNmZTkwZTQxMjQ2NTA4NDVmOGU4OGYiLCJ1c2VySWQiOiIzMDA5MzIwNzcifQ==</vt:lpwstr>
  </property>
</Properties>
</file>