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9A62B">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郑州轻工业大学科研成果赋权情况表</w:t>
      </w:r>
    </w:p>
    <w:p w14:paraId="5B6889E0">
      <w:pPr>
        <w:spacing w:before="156" w:beforeLines="50"/>
        <w:jc w:val="center"/>
        <w:rPr>
          <w:rFonts w:hint="eastAsia" w:ascii="仿宋" w:hAnsi="仿宋" w:eastAsia="仿宋" w:cs="仿宋"/>
          <w:sz w:val="28"/>
          <w:szCs w:val="28"/>
        </w:rPr>
      </w:pPr>
      <w:r>
        <w:rPr>
          <w:rFonts w:hint="eastAsia" w:ascii="仿宋" w:hAnsi="仿宋" w:eastAsia="仿宋" w:cs="仿宋"/>
          <w:sz w:val="28"/>
          <w:szCs w:val="28"/>
        </w:rPr>
        <w:t xml:space="preserve">                                                             </w:t>
      </w:r>
      <w:bookmarkStart w:id="0" w:name="_GoBack"/>
      <w:bookmarkEnd w:id="0"/>
      <w:r>
        <w:rPr>
          <w:rFonts w:hint="eastAsia" w:ascii="仿宋" w:hAnsi="仿宋" w:eastAsia="仿宋" w:cs="仿宋"/>
          <w:sz w:val="28"/>
          <w:szCs w:val="28"/>
        </w:rPr>
        <w:t xml:space="preserve">         时间：2026年10月</w:t>
      </w:r>
      <w:r>
        <w:rPr>
          <w:rFonts w:hint="eastAsia" w:ascii="仿宋" w:hAnsi="仿宋" w:eastAsia="仿宋" w:cs="仿宋"/>
          <w:sz w:val="28"/>
          <w:szCs w:val="28"/>
          <w:lang w:val="en-US" w:eastAsia="zh-CN"/>
        </w:rPr>
        <w:t>12</w:t>
      </w:r>
      <w:r>
        <w:rPr>
          <w:rFonts w:hint="eastAsia" w:ascii="仿宋" w:hAnsi="仿宋" w:eastAsia="仿宋" w:cs="仿宋"/>
          <w:sz w:val="28"/>
          <w:szCs w:val="28"/>
        </w:rPr>
        <w:t>日</w:t>
      </w:r>
    </w:p>
    <w:tbl>
      <w:tblPr>
        <w:tblStyle w:val="2"/>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1549"/>
        <w:gridCol w:w="3402"/>
        <w:gridCol w:w="1559"/>
        <w:gridCol w:w="2134"/>
        <w:gridCol w:w="1207"/>
        <w:gridCol w:w="1371"/>
        <w:gridCol w:w="1285"/>
        <w:gridCol w:w="786"/>
      </w:tblGrid>
      <w:tr w14:paraId="4437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vAlign w:val="center"/>
          </w:tcPr>
          <w:p w14:paraId="547E3070">
            <w:pPr>
              <w:snapToGrid w:val="0"/>
              <w:spacing w:line="340" w:lineRule="atLeast"/>
              <w:jc w:val="center"/>
              <w:rPr>
                <w:rFonts w:hint="eastAsia" w:ascii="黑体" w:hAnsi="黑体" w:eastAsia="黑体" w:cs="黑体"/>
                <w:sz w:val="24"/>
              </w:rPr>
            </w:pPr>
            <w:r>
              <w:rPr>
                <w:rFonts w:hint="eastAsia" w:ascii="黑体" w:hAnsi="黑体" w:eastAsia="黑体" w:cs="黑体"/>
                <w:sz w:val="24"/>
              </w:rPr>
              <w:t>序号</w:t>
            </w:r>
          </w:p>
        </w:tc>
        <w:tc>
          <w:tcPr>
            <w:tcW w:w="1549" w:type="dxa"/>
            <w:vAlign w:val="center"/>
          </w:tcPr>
          <w:p w14:paraId="08151F45">
            <w:pPr>
              <w:snapToGrid w:val="0"/>
              <w:spacing w:line="340" w:lineRule="atLeast"/>
              <w:jc w:val="center"/>
              <w:rPr>
                <w:rFonts w:hint="eastAsia" w:ascii="黑体" w:hAnsi="黑体" w:eastAsia="黑体" w:cs="黑体"/>
                <w:sz w:val="24"/>
              </w:rPr>
            </w:pPr>
            <w:r>
              <w:rPr>
                <w:rFonts w:hint="eastAsia" w:ascii="黑体" w:hAnsi="黑体" w:eastAsia="黑体" w:cs="黑体"/>
                <w:sz w:val="24"/>
              </w:rPr>
              <w:t>成果名称</w:t>
            </w:r>
          </w:p>
        </w:tc>
        <w:tc>
          <w:tcPr>
            <w:tcW w:w="3402" w:type="dxa"/>
            <w:vAlign w:val="center"/>
          </w:tcPr>
          <w:p w14:paraId="2D5D40BB">
            <w:pPr>
              <w:snapToGrid w:val="0"/>
              <w:spacing w:line="340" w:lineRule="atLeast"/>
              <w:jc w:val="center"/>
              <w:rPr>
                <w:rFonts w:hint="eastAsia" w:ascii="黑体" w:hAnsi="黑体" w:eastAsia="黑体" w:cs="黑体"/>
                <w:sz w:val="24"/>
              </w:rPr>
            </w:pPr>
            <w:r>
              <w:rPr>
                <w:rFonts w:hint="eastAsia" w:ascii="黑体" w:hAnsi="黑体" w:eastAsia="黑体" w:cs="黑体"/>
                <w:sz w:val="24"/>
              </w:rPr>
              <w:t>成果内容摘要</w:t>
            </w:r>
          </w:p>
        </w:tc>
        <w:tc>
          <w:tcPr>
            <w:tcW w:w="1559" w:type="dxa"/>
            <w:vAlign w:val="center"/>
          </w:tcPr>
          <w:p w14:paraId="6D891548">
            <w:pPr>
              <w:snapToGrid w:val="0"/>
              <w:spacing w:line="340" w:lineRule="atLeast"/>
              <w:jc w:val="center"/>
              <w:rPr>
                <w:rFonts w:hint="eastAsia" w:ascii="黑体" w:hAnsi="黑体" w:eastAsia="黑体" w:cs="黑体"/>
                <w:sz w:val="24"/>
              </w:rPr>
            </w:pPr>
            <w:r>
              <w:rPr>
                <w:rFonts w:hint="eastAsia" w:ascii="黑体" w:hAnsi="黑体" w:eastAsia="黑体" w:cs="黑体"/>
                <w:sz w:val="24"/>
              </w:rPr>
              <w:t>成果完成人</w:t>
            </w:r>
          </w:p>
        </w:tc>
        <w:tc>
          <w:tcPr>
            <w:tcW w:w="2134" w:type="dxa"/>
            <w:vAlign w:val="center"/>
          </w:tcPr>
          <w:p w14:paraId="3F0252B5">
            <w:pPr>
              <w:snapToGrid w:val="0"/>
              <w:spacing w:line="340" w:lineRule="atLeast"/>
              <w:jc w:val="center"/>
              <w:rPr>
                <w:rFonts w:hint="eastAsia" w:ascii="黑体" w:hAnsi="黑体" w:eastAsia="黑体" w:cs="黑体"/>
                <w:sz w:val="24"/>
              </w:rPr>
            </w:pPr>
            <w:r>
              <w:rPr>
                <w:rFonts w:hint="eastAsia" w:ascii="黑体" w:hAnsi="黑体" w:eastAsia="黑体" w:cs="黑体"/>
                <w:sz w:val="24"/>
              </w:rPr>
              <w:t>赋权类型</w:t>
            </w:r>
          </w:p>
        </w:tc>
        <w:tc>
          <w:tcPr>
            <w:tcW w:w="1207" w:type="dxa"/>
            <w:vAlign w:val="center"/>
          </w:tcPr>
          <w:p w14:paraId="572BC4CA">
            <w:pPr>
              <w:snapToGrid w:val="0"/>
              <w:spacing w:line="340" w:lineRule="atLeast"/>
              <w:jc w:val="center"/>
              <w:rPr>
                <w:rFonts w:hint="eastAsia" w:ascii="黑体" w:hAnsi="黑体" w:eastAsia="黑体" w:cs="黑体"/>
                <w:sz w:val="24"/>
              </w:rPr>
            </w:pPr>
            <w:r>
              <w:rPr>
                <w:rFonts w:hint="eastAsia" w:ascii="黑体" w:hAnsi="黑体" w:eastAsia="黑体" w:cs="黑体"/>
                <w:sz w:val="24"/>
              </w:rPr>
              <w:t>转化</w:t>
            </w:r>
          </w:p>
          <w:p w14:paraId="45296DD2">
            <w:pPr>
              <w:snapToGrid w:val="0"/>
              <w:spacing w:line="340" w:lineRule="atLeast"/>
              <w:jc w:val="center"/>
              <w:rPr>
                <w:rFonts w:hint="eastAsia" w:ascii="黑体" w:hAnsi="黑体" w:eastAsia="黑体" w:cs="黑体"/>
                <w:sz w:val="24"/>
              </w:rPr>
            </w:pPr>
            <w:r>
              <w:rPr>
                <w:rFonts w:hint="eastAsia" w:ascii="黑体" w:hAnsi="黑体" w:eastAsia="黑体" w:cs="黑体"/>
                <w:sz w:val="24"/>
              </w:rPr>
              <w:t>方式</w:t>
            </w:r>
          </w:p>
        </w:tc>
        <w:tc>
          <w:tcPr>
            <w:tcW w:w="1371" w:type="dxa"/>
            <w:vAlign w:val="center"/>
          </w:tcPr>
          <w:p w14:paraId="6166F577">
            <w:pPr>
              <w:snapToGrid w:val="0"/>
              <w:spacing w:line="340" w:lineRule="atLeast"/>
              <w:jc w:val="center"/>
              <w:rPr>
                <w:rFonts w:hint="eastAsia" w:ascii="黑体" w:hAnsi="黑体" w:eastAsia="黑体" w:cs="黑体"/>
                <w:sz w:val="24"/>
              </w:rPr>
            </w:pPr>
            <w:r>
              <w:rPr>
                <w:rFonts w:hint="eastAsia" w:ascii="黑体" w:hAnsi="黑体" w:eastAsia="黑体" w:cs="黑体"/>
                <w:sz w:val="24"/>
              </w:rPr>
              <w:t>交易金额（万元）</w:t>
            </w:r>
          </w:p>
        </w:tc>
        <w:tc>
          <w:tcPr>
            <w:tcW w:w="1285" w:type="dxa"/>
            <w:vAlign w:val="center"/>
          </w:tcPr>
          <w:p w14:paraId="45E3D0D0">
            <w:pPr>
              <w:snapToGrid w:val="0"/>
              <w:spacing w:line="340" w:lineRule="atLeast"/>
              <w:jc w:val="center"/>
              <w:rPr>
                <w:rFonts w:hint="eastAsia" w:ascii="黑体" w:hAnsi="黑体" w:eastAsia="黑体" w:cs="黑体"/>
                <w:sz w:val="24"/>
              </w:rPr>
            </w:pPr>
            <w:r>
              <w:rPr>
                <w:rFonts w:hint="eastAsia" w:ascii="黑体" w:hAnsi="黑体" w:eastAsia="黑体" w:cs="黑体"/>
                <w:sz w:val="24"/>
              </w:rPr>
              <w:t>受让方</w:t>
            </w:r>
          </w:p>
        </w:tc>
        <w:tc>
          <w:tcPr>
            <w:tcW w:w="786" w:type="dxa"/>
            <w:vAlign w:val="center"/>
          </w:tcPr>
          <w:p w14:paraId="4FCE9BB2">
            <w:pPr>
              <w:snapToGrid w:val="0"/>
              <w:spacing w:line="340" w:lineRule="atLeast"/>
              <w:jc w:val="center"/>
              <w:rPr>
                <w:rFonts w:hint="eastAsia" w:ascii="黑体" w:hAnsi="黑体" w:eastAsia="黑体" w:cs="黑体"/>
                <w:sz w:val="24"/>
              </w:rPr>
            </w:pPr>
            <w:r>
              <w:rPr>
                <w:rFonts w:hint="eastAsia" w:ascii="黑体" w:hAnsi="黑体" w:eastAsia="黑体" w:cs="黑体"/>
                <w:sz w:val="24"/>
              </w:rPr>
              <w:t>备注</w:t>
            </w:r>
          </w:p>
        </w:tc>
      </w:tr>
      <w:tr w14:paraId="7287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vAlign w:val="center"/>
          </w:tcPr>
          <w:p w14:paraId="2D48A490">
            <w:pPr>
              <w:snapToGrid w:val="0"/>
              <w:spacing w:line="340" w:lineRule="atLeast"/>
              <w:jc w:val="center"/>
              <w:rPr>
                <w:rFonts w:hint="eastAsia" w:ascii="宋体" w:hAnsi="宋体" w:eastAsia="宋体" w:cs="宋体"/>
                <w:sz w:val="21"/>
                <w:szCs w:val="21"/>
              </w:rPr>
            </w:pPr>
            <w:r>
              <w:rPr>
                <w:rFonts w:hint="eastAsia" w:ascii="宋体" w:hAnsi="宋体" w:eastAsia="宋体" w:cs="宋体"/>
                <w:sz w:val="21"/>
                <w:szCs w:val="21"/>
              </w:rPr>
              <w:t>1</w:t>
            </w:r>
          </w:p>
        </w:tc>
        <w:tc>
          <w:tcPr>
            <w:tcW w:w="1549" w:type="dxa"/>
            <w:vAlign w:val="center"/>
          </w:tcPr>
          <w:p w14:paraId="56DDEFA5">
            <w:pPr>
              <w:snapToGrid w:val="0"/>
              <w:spacing w:line="340" w:lineRule="atLeast"/>
              <w:jc w:val="center"/>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一种利用动态高压微射流技术制备枣多糖的方法</w:t>
            </w:r>
          </w:p>
        </w:tc>
        <w:tc>
          <w:tcPr>
            <w:tcW w:w="3402" w:type="dxa"/>
            <w:vAlign w:val="center"/>
          </w:tcPr>
          <w:p w14:paraId="1B3F63C9">
            <w:pPr>
              <w:spacing w:before="78" w:line="340" w:lineRule="atLeast"/>
              <w:ind w:firstLine="404" w:firstLineChars="200"/>
              <w:jc w:val="left"/>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本发明公开了一种利用动态高压微射流技术制备枣多糖的方法。制备方法包括枣去核烘干后超微粉碎成枣粉，超声辅助热水法提取，提取液浓缩，醇沉，冷冻干燥得到枣粗多糖；枣粗多糖溶液依次通过大孔树脂AB</w:t>
            </w:r>
            <w:r>
              <w:rPr>
                <w:rFonts w:hint="eastAsia" w:ascii="宋体" w:hAnsi="宋体" w:eastAsia="宋体" w:cs="宋体"/>
                <w:snapToGrid w:val="0"/>
                <w:color w:val="000000"/>
                <w:spacing w:val="-4"/>
                <w:kern w:val="0"/>
                <w:sz w:val="21"/>
                <w:szCs w:val="21"/>
              </w:rPr>
              <w:noBreakHyphen/>
            </w:r>
            <w:r>
              <w:rPr>
                <w:rFonts w:hint="eastAsia" w:ascii="宋体" w:hAnsi="宋体" w:eastAsia="宋体" w:cs="宋体"/>
                <w:snapToGrid w:val="0"/>
                <w:color w:val="000000"/>
                <w:spacing w:val="-4"/>
                <w:kern w:val="0"/>
                <w:sz w:val="21"/>
                <w:szCs w:val="21"/>
              </w:rPr>
              <w:t>8柱和DEAE纤维素DE</w:t>
            </w:r>
            <w:r>
              <w:rPr>
                <w:rFonts w:hint="eastAsia" w:ascii="宋体" w:hAnsi="宋体" w:eastAsia="宋体" w:cs="宋体"/>
                <w:snapToGrid w:val="0"/>
                <w:color w:val="000000"/>
                <w:spacing w:val="-4"/>
                <w:kern w:val="0"/>
                <w:sz w:val="21"/>
                <w:szCs w:val="21"/>
              </w:rPr>
              <w:noBreakHyphen/>
            </w:r>
            <w:r>
              <w:rPr>
                <w:rFonts w:hint="eastAsia" w:ascii="宋体" w:hAnsi="宋体" w:eastAsia="宋体" w:cs="宋体"/>
                <w:snapToGrid w:val="0"/>
                <w:color w:val="000000"/>
                <w:spacing w:val="-4"/>
                <w:kern w:val="0"/>
                <w:sz w:val="21"/>
                <w:szCs w:val="21"/>
              </w:rPr>
              <w:t>52柱纯化；纯化的枣多糖溶液使用动态高压微射流处理后，浓缩，冷冻干燥得到枣多糖。本发明开发的枣多糖粒径和分子量低、热稳定性高，同时具有更强的抗氧化活性。</w:t>
            </w:r>
          </w:p>
        </w:tc>
        <w:tc>
          <w:tcPr>
            <w:tcW w:w="1559" w:type="dxa"/>
            <w:vAlign w:val="center"/>
          </w:tcPr>
          <w:p w14:paraId="69E3DD80">
            <w:pPr>
              <w:snapToGrid w:val="0"/>
              <w:spacing w:line="340" w:lineRule="atLeast"/>
              <w:jc w:val="left"/>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刘梦培;李昌文;魏肖鹏;纵伟;朱高浦;张丽华;王嵘;葛珍珍;王小媛</w:t>
            </w:r>
          </w:p>
        </w:tc>
        <w:tc>
          <w:tcPr>
            <w:tcW w:w="2134" w:type="dxa"/>
            <w:vAlign w:val="center"/>
          </w:tcPr>
          <w:p w14:paraId="65B55C47">
            <w:pPr>
              <w:snapToGrid w:val="0"/>
              <w:spacing w:line="340" w:lineRule="atLeast"/>
              <w:jc w:val="center"/>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长期使用权（10年）</w:t>
            </w:r>
          </w:p>
        </w:tc>
        <w:tc>
          <w:tcPr>
            <w:tcW w:w="1207" w:type="dxa"/>
            <w:vAlign w:val="center"/>
          </w:tcPr>
          <w:p w14:paraId="7A7E87FA">
            <w:pPr>
              <w:spacing w:line="340" w:lineRule="atLeast"/>
              <w:jc w:val="center"/>
              <w:rPr>
                <w:rFonts w:hint="eastAsia" w:ascii="宋体" w:hAnsi="宋体" w:eastAsia="宋体" w:cs="宋体"/>
                <w:sz w:val="21"/>
                <w:szCs w:val="21"/>
              </w:rPr>
            </w:pPr>
            <w:r>
              <w:rPr>
                <w:rFonts w:hint="eastAsia" w:ascii="宋体" w:hAnsi="宋体" w:eastAsia="宋体" w:cs="宋体"/>
                <w:sz w:val="21"/>
                <w:szCs w:val="21"/>
              </w:rPr>
              <w:t>技术许可</w:t>
            </w:r>
          </w:p>
        </w:tc>
        <w:tc>
          <w:tcPr>
            <w:tcW w:w="1371" w:type="dxa"/>
            <w:vAlign w:val="center"/>
          </w:tcPr>
          <w:p w14:paraId="63336B78">
            <w:pPr>
              <w:spacing w:line="340" w:lineRule="atLeast"/>
              <w:jc w:val="center"/>
              <w:rPr>
                <w:rFonts w:hint="eastAsia" w:ascii="宋体" w:hAnsi="宋体" w:eastAsia="宋体" w:cs="宋体"/>
                <w:sz w:val="21"/>
                <w:szCs w:val="21"/>
              </w:rPr>
            </w:pPr>
            <w:r>
              <w:rPr>
                <w:rFonts w:hint="eastAsia" w:ascii="宋体" w:hAnsi="宋体" w:eastAsia="宋体" w:cs="宋体"/>
                <w:sz w:val="21"/>
                <w:szCs w:val="21"/>
              </w:rPr>
              <w:t>30</w:t>
            </w:r>
          </w:p>
        </w:tc>
        <w:tc>
          <w:tcPr>
            <w:tcW w:w="1285" w:type="dxa"/>
            <w:vAlign w:val="center"/>
          </w:tcPr>
          <w:p w14:paraId="46AEB8EE">
            <w:pPr>
              <w:spacing w:line="340" w:lineRule="atLeast"/>
              <w:jc w:val="center"/>
              <w:rPr>
                <w:rFonts w:hint="eastAsia" w:ascii="宋体" w:hAnsi="宋体" w:eastAsia="宋体" w:cs="宋体"/>
                <w:snapToGrid w:val="0"/>
                <w:color w:val="000000"/>
                <w:spacing w:val="-3"/>
                <w:kern w:val="0"/>
                <w:sz w:val="21"/>
                <w:szCs w:val="21"/>
              </w:rPr>
            </w:pPr>
            <w:r>
              <w:rPr>
                <w:rFonts w:hint="eastAsia" w:ascii="宋体" w:hAnsi="宋体" w:eastAsia="宋体" w:cs="宋体"/>
                <w:snapToGrid w:val="0"/>
                <w:color w:val="000000"/>
                <w:spacing w:val="-3"/>
                <w:kern w:val="0"/>
                <w:sz w:val="21"/>
                <w:szCs w:val="21"/>
              </w:rPr>
              <w:t>邢台县朱仓农业开发有限公司</w:t>
            </w:r>
          </w:p>
        </w:tc>
        <w:tc>
          <w:tcPr>
            <w:tcW w:w="786" w:type="dxa"/>
            <w:vAlign w:val="center"/>
          </w:tcPr>
          <w:p w14:paraId="37F9503D">
            <w:pPr>
              <w:spacing w:line="340" w:lineRule="atLeast"/>
              <w:jc w:val="center"/>
              <w:rPr>
                <w:rFonts w:hint="eastAsia" w:ascii="宋体" w:hAnsi="宋体" w:eastAsia="宋体" w:cs="宋体"/>
                <w:sz w:val="21"/>
                <w:szCs w:val="21"/>
              </w:rPr>
            </w:pPr>
          </w:p>
        </w:tc>
      </w:tr>
      <w:tr w14:paraId="23BE8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vAlign w:val="center"/>
          </w:tcPr>
          <w:p w14:paraId="1E0B510D">
            <w:pPr>
              <w:snapToGrid w:val="0"/>
              <w:spacing w:line="340" w:lineRule="atLeast"/>
              <w:jc w:val="center"/>
              <w:rPr>
                <w:rFonts w:hint="eastAsia" w:ascii="宋体" w:hAnsi="宋体" w:eastAsia="宋体" w:cs="宋体"/>
                <w:sz w:val="21"/>
                <w:szCs w:val="21"/>
              </w:rPr>
            </w:pPr>
            <w:r>
              <w:rPr>
                <w:rFonts w:hint="eastAsia" w:ascii="宋体" w:hAnsi="宋体" w:eastAsia="宋体" w:cs="宋体"/>
                <w:sz w:val="21"/>
                <w:szCs w:val="21"/>
              </w:rPr>
              <w:t>2</w:t>
            </w:r>
          </w:p>
        </w:tc>
        <w:tc>
          <w:tcPr>
            <w:tcW w:w="1549" w:type="dxa"/>
            <w:vAlign w:val="center"/>
          </w:tcPr>
          <w:p w14:paraId="33311719">
            <w:pPr>
              <w:snapToGrid w:val="0"/>
              <w:spacing w:line="340" w:lineRule="atLeast"/>
              <w:jc w:val="center"/>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一种山药块茎木栓化组织中木栓质单体含量的测定方法</w:t>
            </w:r>
          </w:p>
        </w:tc>
        <w:tc>
          <w:tcPr>
            <w:tcW w:w="3402" w:type="dxa"/>
            <w:vAlign w:val="center"/>
          </w:tcPr>
          <w:p w14:paraId="7D4FD679">
            <w:pPr>
              <w:spacing w:before="78" w:line="340" w:lineRule="atLeast"/>
              <w:ind w:firstLine="420" w:firstLineChars="200"/>
              <w:jc w:val="left"/>
              <w:rPr>
                <w:rFonts w:hint="eastAsia" w:ascii="宋体" w:hAnsi="宋体" w:eastAsia="宋体" w:cs="宋体"/>
                <w:snapToGrid w:val="0"/>
                <w:color w:val="000000"/>
                <w:spacing w:val="-4"/>
                <w:kern w:val="0"/>
                <w:sz w:val="21"/>
                <w:szCs w:val="21"/>
              </w:rPr>
            </w:pPr>
            <w:r>
              <w:rPr>
                <w:rFonts w:hint="eastAsia" w:ascii="宋体" w:hAnsi="宋体" w:eastAsia="宋体" w:cs="宋体"/>
                <w:sz w:val="21"/>
                <w:szCs w:val="21"/>
              </w:rPr>
              <w:t>本发明公开了一种山药块茎木栓化组织中木栓质单体含量的测定方法，首先利用超声波预处理破坏植物细胞，随后利用脂肪酶水解并结合超声波辅助和酸水解（硫酸/甲醇）将木栓质充分、高效的水解成单体，所用试剂相对安全无毒性，操作比较简单，解决了山药块茎损伤愈合木栓质代谢研究中木栓质单体含量测定困难的技术难题。</w:t>
            </w:r>
          </w:p>
        </w:tc>
        <w:tc>
          <w:tcPr>
            <w:tcW w:w="1559" w:type="dxa"/>
            <w:vAlign w:val="center"/>
          </w:tcPr>
          <w:p w14:paraId="7AE3C93A">
            <w:pPr>
              <w:snapToGrid w:val="0"/>
              <w:spacing w:line="340" w:lineRule="atLeast"/>
              <w:jc w:val="left"/>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魏肖鹏；庚平；王小媛；葛珍珍；张丽华；刘梦培；刘琳瑶；纵伟</w:t>
            </w:r>
          </w:p>
        </w:tc>
        <w:tc>
          <w:tcPr>
            <w:tcW w:w="2134" w:type="dxa"/>
            <w:vAlign w:val="center"/>
          </w:tcPr>
          <w:p w14:paraId="0FABBE38">
            <w:pPr>
              <w:snapToGrid w:val="0"/>
              <w:spacing w:line="340" w:lineRule="atLeast"/>
              <w:jc w:val="center"/>
              <w:rPr>
                <w:rFonts w:hint="eastAsia" w:ascii="宋体" w:hAnsi="宋体" w:eastAsia="宋体" w:cs="宋体"/>
                <w:snapToGrid w:val="0"/>
                <w:color w:val="000000"/>
                <w:spacing w:val="-4"/>
                <w:kern w:val="0"/>
                <w:sz w:val="21"/>
                <w:szCs w:val="21"/>
              </w:rPr>
            </w:pPr>
            <w:r>
              <w:rPr>
                <w:rFonts w:hint="eastAsia" w:ascii="宋体" w:hAnsi="宋体" w:eastAsia="宋体" w:cs="宋体"/>
                <w:snapToGrid w:val="0"/>
                <w:color w:val="000000"/>
                <w:spacing w:val="-4"/>
                <w:kern w:val="0"/>
                <w:sz w:val="21"/>
                <w:szCs w:val="21"/>
              </w:rPr>
              <w:t>长期使用权（10年）</w:t>
            </w:r>
          </w:p>
        </w:tc>
        <w:tc>
          <w:tcPr>
            <w:tcW w:w="1207" w:type="dxa"/>
            <w:vAlign w:val="center"/>
          </w:tcPr>
          <w:p w14:paraId="4AAD1F78">
            <w:pPr>
              <w:spacing w:line="340" w:lineRule="atLeast"/>
              <w:jc w:val="center"/>
              <w:rPr>
                <w:rFonts w:hint="eastAsia" w:ascii="宋体" w:hAnsi="宋体" w:eastAsia="宋体" w:cs="宋体"/>
                <w:sz w:val="21"/>
                <w:szCs w:val="21"/>
              </w:rPr>
            </w:pPr>
            <w:r>
              <w:rPr>
                <w:rFonts w:hint="eastAsia" w:ascii="宋体" w:hAnsi="宋体" w:eastAsia="宋体" w:cs="宋体"/>
                <w:sz w:val="21"/>
                <w:szCs w:val="21"/>
              </w:rPr>
              <w:t>技术许可</w:t>
            </w:r>
          </w:p>
        </w:tc>
        <w:tc>
          <w:tcPr>
            <w:tcW w:w="1371" w:type="dxa"/>
            <w:vAlign w:val="center"/>
          </w:tcPr>
          <w:p w14:paraId="6E9D101D">
            <w:pPr>
              <w:spacing w:line="340" w:lineRule="atLeast"/>
              <w:jc w:val="center"/>
              <w:rPr>
                <w:rFonts w:hint="eastAsia" w:ascii="宋体" w:hAnsi="宋体" w:eastAsia="宋体" w:cs="宋体"/>
                <w:sz w:val="21"/>
                <w:szCs w:val="21"/>
              </w:rPr>
            </w:pPr>
            <w:r>
              <w:rPr>
                <w:rFonts w:hint="eastAsia" w:ascii="宋体" w:hAnsi="宋体" w:eastAsia="宋体" w:cs="宋体"/>
                <w:sz w:val="21"/>
                <w:szCs w:val="21"/>
              </w:rPr>
              <w:t>11</w:t>
            </w:r>
          </w:p>
        </w:tc>
        <w:tc>
          <w:tcPr>
            <w:tcW w:w="1285" w:type="dxa"/>
            <w:vAlign w:val="center"/>
          </w:tcPr>
          <w:p w14:paraId="1A801A5B">
            <w:pPr>
              <w:spacing w:line="340" w:lineRule="atLeast"/>
              <w:jc w:val="center"/>
              <w:rPr>
                <w:rFonts w:hint="eastAsia" w:ascii="宋体" w:hAnsi="宋体" w:eastAsia="宋体" w:cs="宋体"/>
                <w:snapToGrid w:val="0"/>
                <w:color w:val="000000"/>
                <w:spacing w:val="-3"/>
                <w:kern w:val="0"/>
                <w:sz w:val="21"/>
                <w:szCs w:val="21"/>
              </w:rPr>
            </w:pPr>
            <w:r>
              <w:rPr>
                <w:rFonts w:hint="eastAsia" w:ascii="宋体" w:hAnsi="宋体" w:eastAsia="宋体" w:cs="宋体"/>
                <w:snapToGrid w:val="0"/>
                <w:color w:val="000000"/>
                <w:spacing w:val="-3"/>
                <w:kern w:val="0"/>
                <w:sz w:val="21"/>
                <w:szCs w:val="21"/>
              </w:rPr>
              <w:t>河南禾下兴实业有限公司</w:t>
            </w:r>
          </w:p>
        </w:tc>
        <w:tc>
          <w:tcPr>
            <w:tcW w:w="786" w:type="dxa"/>
            <w:vAlign w:val="center"/>
          </w:tcPr>
          <w:p w14:paraId="3F7FC53D">
            <w:pPr>
              <w:spacing w:line="340" w:lineRule="atLeast"/>
              <w:jc w:val="center"/>
              <w:rPr>
                <w:rFonts w:hint="eastAsia" w:ascii="宋体" w:hAnsi="宋体" w:eastAsia="宋体" w:cs="宋体"/>
                <w:sz w:val="21"/>
                <w:szCs w:val="21"/>
              </w:rPr>
            </w:pPr>
          </w:p>
        </w:tc>
      </w:tr>
      <w:tr w14:paraId="0472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vAlign w:val="center"/>
          </w:tcPr>
          <w:p w14:paraId="6F64A059">
            <w:pPr>
              <w:snapToGrid w:val="0"/>
              <w:spacing w:line="340" w:lineRule="atLeast"/>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3</w:t>
            </w:r>
          </w:p>
        </w:tc>
        <w:tc>
          <w:tcPr>
            <w:tcW w:w="1549" w:type="dxa"/>
            <w:shd w:val="clear" w:color="auto" w:fill="auto"/>
            <w:vAlign w:val="center"/>
          </w:tcPr>
          <w:p w14:paraId="460321A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lang w:val="en-US" w:eastAsia="zh-CN" w:bidi="ar-SA"/>
              </w:rPr>
              <w:t>一种行驶过程中的车厢异常气体集聚检测装置</w:t>
            </w:r>
          </w:p>
        </w:tc>
        <w:tc>
          <w:tcPr>
            <w:tcW w:w="3402" w:type="dxa"/>
            <w:shd w:val="clear" w:color="auto" w:fill="auto"/>
            <w:vAlign w:val="center"/>
          </w:tcPr>
          <w:p w14:paraId="79DC6BD5">
            <w:pPr>
              <w:keepNext w:val="0"/>
              <w:keepLines w:val="0"/>
              <w:pageBreakBefore w:val="0"/>
              <w:widowControl w:val="0"/>
              <w:kinsoku/>
              <w:wordWrap/>
              <w:overflowPunct/>
              <w:topLinePunct w:val="0"/>
              <w:autoSpaceDE/>
              <w:autoSpaceDN/>
              <w:bidi w:val="0"/>
              <w:adjustRightInd/>
              <w:spacing w:before="78" w:line="340" w:lineRule="atLeast"/>
              <w:ind w:firstLine="404" w:firstLineChars="200"/>
              <w:jc w:val="left"/>
              <w:textAlignment w:val="auto"/>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lang w:val="en-US" w:eastAsia="zh-CN" w:bidi="ar-SA"/>
              </w:rPr>
              <w:t>本发明公开一种行驶车厢异常气体集聚检测装置，顶部集聚筒借伯努利原理汇聚气体并检测，可快速预警。</w:t>
            </w:r>
          </w:p>
        </w:tc>
        <w:tc>
          <w:tcPr>
            <w:tcW w:w="1559" w:type="dxa"/>
            <w:shd w:val="clear" w:color="auto" w:fill="auto"/>
            <w:vAlign w:val="center"/>
          </w:tcPr>
          <w:p w14:paraId="4582A006">
            <w:pPr>
              <w:keepNext w:val="0"/>
              <w:keepLines w:val="0"/>
              <w:pageBreakBefore w:val="0"/>
              <w:widowControl w:val="0"/>
              <w:kinsoku/>
              <w:wordWrap/>
              <w:overflowPunct/>
              <w:topLinePunct w:val="0"/>
              <w:autoSpaceDE/>
              <w:autoSpaceDN/>
              <w:bidi w:val="0"/>
              <w:adjustRightInd/>
              <w:snapToGrid w:val="0"/>
              <w:spacing w:line="340" w:lineRule="atLeast"/>
              <w:jc w:val="left"/>
              <w:textAlignment w:val="auto"/>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lang w:val="en-US" w:eastAsia="zh-CN" w:bidi="ar-SA"/>
              </w:rPr>
              <w:t>吴则琪；邵琳；娄振；秦恒洁；魏晓鸽；余占江；赵锦鹏；耿彪；孙广超；谢雨涵；王坤</w:t>
            </w:r>
          </w:p>
        </w:tc>
        <w:tc>
          <w:tcPr>
            <w:tcW w:w="2134" w:type="dxa"/>
            <w:shd w:val="clear" w:color="auto" w:fill="auto"/>
            <w:vAlign w:val="center"/>
          </w:tcPr>
          <w:p w14:paraId="3300B3A9">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rPr>
              <w:t>长期使用权（10年）</w:t>
            </w:r>
          </w:p>
        </w:tc>
        <w:tc>
          <w:tcPr>
            <w:tcW w:w="1207" w:type="dxa"/>
            <w:shd w:val="clear" w:color="auto" w:fill="auto"/>
            <w:vAlign w:val="center"/>
          </w:tcPr>
          <w:p w14:paraId="3616B223">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技术许可</w:t>
            </w:r>
          </w:p>
        </w:tc>
        <w:tc>
          <w:tcPr>
            <w:tcW w:w="1371" w:type="dxa"/>
            <w:shd w:val="clear" w:color="auto" w:fill="auto"/>
            <w:vAlign w:val="center"/>
          </w:tcPr>
          <w:p w14:paraId="335ED80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c>
          <w:tcPr>
            <w:tcW w:w="1285" w:type="dxa"/>
            <w:shd w:val="clear" w:color="auto" w:fill="auto"/>
            <w:vAlign w:val="center"/>
          </w:tcPr>
          <w:p w14:paraId="25B7F6E7">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宋体" w:hAnsi="宋体" w:eastAsia="宋体" w:cs="宋体"/>
                <w:snapToGrid w:val="0"/>
                <w:color w:val="000000"/>
                <w:spacing w:val="-3"/>
                <w:kern w:val="0"/>
                <w:sz w:val="21"/>
                <w:szCs w:val="21"/>
                <w:lang w:val="en-US" w:eastAsia="zh-CN" w:bidi="ar-SA"/>
              </w:rPr>
            </w:pPr>
            <w:r>
              <w:rPr>
                <w:rFonts w:hint="eastAsia" w:ascii="宋体" w:hAnsi="宋体" w:eastAsia="宋体" w:cs="宋体"/>
                <w:snapToGrid w:val="0"/>
                <w:color w:val="000000"/>
                <w:spacing w:val="-3"/>
                <w:kern w:val="0"/>
                <w:sz w:val="21"/>
                <w:szCs w:val="21"/>
                <w:lang w:val="en-US" w:eastAsia="zh-CN" w:bidi="ar-SA"/>
              </w:rPr>
              <w:t>河南火凤凰消防科技有限公司</w:t>
            </w:r>
          </w:p>
        </w:tc>
        <w:tc>
          <w:tcPr>
            <w:tcW w:w="786" w:type="dxa"/>
            <w:shd w:val="clear" w:color="auto" w:fill="auto"/>
            <w:vAlign w:val="center"/>
          </w:tcPr>
          <w:p w14:paraId="022B8BAF">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宋体" w:hAnsi="宋体" w:eastAsia="宋体" w:cs="宋体"/>
                <w:kern w:val="2"/>
                <w:sz w:val="21"/>
                <w:szCs w:val="21"/>
                <w:lang w:val="en-US" w:eastAsia="zh-CN" w:bidi="ar-SA"/>
              </w:rPr>
            </w:pPr>
          </w:p>
        </w:tc>
      </w:tr>
      <w:tr w14:paraId="49D7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vAlign w:val="center"/>
          </w:tcPr>
          <w:p w14:paraId="7015A75B">
            <w:pPr>
              <w:snapToGrid w:val="0"/>
              <w:spacing w:line="340" w:lineRule="atLeast"/>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4</w:t>
            </w:r>
          </w:p>
        </w:tc>
        <w:tc>
          <w:tcPr>
            <w:tcW w:w="1549" w:type="dxa"/>
            <w:shd w:val="clear" w:color="auto" w:fill="auto"/>
            <w:vAlign w:val="center"/>
          </w:tcPr>
          <w:p w14:paraId="0CCF3AFD">
            <w:pPr>
              <w:snapToGrid w:val="0"/>
              <w:spacing w:line="340" w:lineRule="atLeast"/>
              <w:jc w:val="center"/>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rPr>
              <w:t>一种基于递推方式的实时快速磁纳米温度测量方法</w:t>
            </w:r>
          </w:p>
        </w:tc>
        <w:tc>
          <w:tcPr>
            <w:tcW w:w="3402" w:type="dxa"/>
            <w:shd w:val="clear" w:color="auto" w:fill="auto"/>
            <w:vAlign w:val="center"/>
          </w:tcPr>
          <w:p w14:paraId="1F14C111">
            <w:pPr>
              <w:snapToGrid w:val="0"/>
              <w:spacing w:line="340" w:lineRule="atLeast"/>
              <w:jc w:val="left"/>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rPr>
              <w:br w:type="textWrapping"/>
            </w:r>
            <w:r>
              <w:rPr>
                <w:rFonts w:hint="eastAsia" w:ascii="宋体" w:hAnsi="宋体" w:eastAsia="宋体" w:cs="宋体"/>
                <w:snapToGrid w:val="0"/>
                <w:spacing w:val="-4"/>
                <w:kern w:val="0"/>
                <w:sz w:val="21"/>
                <w:szCs w:val="21"/>
              </w:rPr>
              <w:t>本发明提出了一种基于递推方式的实时快速磁纳米温度测量方法，步骤为：将磁纳米粒子样品放置在待测对象处，对磁纳米粒子样品所在的区域同时施加交流和直流磁场，利用空心线圈实时获取磁纳米粒子样品在施加磁场激励下的磁化信息，通过低噪声前置放大器进行信号放大，采用数据采集卡对信号进行离散采集，利用谐波提取算法检测出各次谐波信号的幅值信息；根据郎之万函数和二次谐波与一次谐波幅值之比导函数的特性建立递推公式，构建实时温度测量递推模型，获取到温度信息。本发明可以实时快速的获取到被测非接触式物体温度信息，从根本上解决了磁纳米温度测量实时性较低的问题，同时又避开了高次谐波测量困难的难题，实现快速实时温度测量。</w:t>
            </w:r>
          </w:p>
        </w:tc>
        <w:tc>
          <w:tcPr>
            <w:tcW w:w="1559" w:type="dxa"/>
            <w:shd w:val="clear" w:color="auto" w:fill="auto"/>
            <w:vAlign w:val="center"/>
          </w:tcPr>
          <w:p w14:paraId="4F0086EF">
            <w:pPr>
              <w:snapToGrid w:val="0"/>
              <w:spacing w:line="340" w:lineRule="atLeast"/>
              <w:jc w:val="left"/>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rPr>
              <w:t>杜中州，苏日建，史江山，刘文中，甘勇，皮仕强，叶娜，郭功兵，张涛</w:t>
            </w:r>
          </w:p>
        </w:tc>
        <w:tc>
          <w:tcPr>
            <w:tcW w:w="2134" w:type="dxa"/>
            <w:shd w:val="clear" w:color="auto" w:fill="auto"/>
            <w:vAlign w:val="center"/>
          </w:tcPr>
          <w:p w14:paraId="0F6E615F">
            <w:pPr>
              <w:snapToGrid w:val="0"/>
              <w:spacing w:line="340" w:lineRule="atLeast"/>
              <w:jc w:val="center"/>
              <w:rPr>
                <w:rFonts w:hint="eastAsia" w:ascii="宋体" w:hAnsi="宋体" w:eastAsia="宋体" w:cs="宋体"/>
                <w:snapToGrid w:val="0"/>
                <w:color w:val="000000"/>
                <w:spacing w:val="-4"/>
                <w:kern w:val="0"/>
                <w:sz w:val="21"/>
                <w:szCs w:val="21"/>
                <w:lang w:val="en-US" w:eastAsia="zh-CN" w:bidi="ar-SA"/>
              </w:rPr>
            </w:pPr>
            <w:r>
              <w:rPr>
                <w:rFonts w:hint="eastAsia" w:ascii="宋体" w:hAnsi="宋体" w:eastAsia="宋体" w:cs="宋体"/>
                <w:snapToGrid w:val="0"/>
                <w:color w:val="000000"/>
                <w:spacing w:val="-4"/>
                <w:kern w:val="0"/>
                <w:sz w:val="21"/>
                <w:szCs w:val="21"/>
              </w:rPr>
              <w:t>长期使用权（10年）</w:t>
            </w:r>
          </w:p>
        </w:tc>
        <w:tc>
          <w:tcPr>
            <w:tcW w:w="1207" w:type="dxa"/>
            <w:shd w:val="clear" w:color="auto" w:fill="auto"/>
            <w:vAlign w:val="center"/>
          </w:tcPr>
          <w:p w14:paraId="097616E2">
            <w:pPr>
              <w:spacing w:line="340" w:lineRule="atLeast"/>
              <w:jc w:val="center"/>
              <w:rPr>
                <w:rFonts w:hint="eastAsia" w:ascii="宋体" w:hAnsi="宋体" w:eastAsia="宋体" w:cs="宋体"/>
                <w:sz w:val="21"/>
                <w:szCs w:val="21"/>
              </w:rPr>
            </w:pPr>
            <w:r>
              <w:rPr>
                <w:rFonts w:hint="eastAsia" w:ascii="宋体" w:hAnsi="宋体" w:eastAsia="宋体" w:cs="宋体"/>
                <w:sz w:val="21"/>
                <w:szCs w:val="21"/>
              </w:rPr>
              <w:t>技术许可</w:t>
            </w:r>
          </w:p>
          <w:p w14:paraId="399FC8E4">
            <w:pPr>
              <w:spacing w:line="340" w:lineRule="atLeast"/>
              <w:jc w:val="center"/>
              <w:rPr>
                <w:rFonts w:hint="eastAsia" w:ascii="宋体" w:hAnsi="宋体" w:eastAsia="宋体" w:cs="宋体"/>
                <w:kern w:val="2"/>
                <w:sz w:val="21"/>
                <w:szCs w:val="21"/>
                <w:lang w:val="en-US" w:eastAsia="zh-CN" w:bidi="ar-SA"/>
              </w:rPr>
            </w:pPr>
          </w:p>
        </w:tc>
        <w:tc>
          <w:tcPr>
            <w:tcW w:w="1371" w:type="dxa"/>
            <w:shd w:val="clear" w:color="auto" w:fill="auto"/>
            <w:vAlign w:val="center"/>
          </w:tcPr>
          <w:p w14:paraId="3ED43E0D">
            <w:pPr>
              <w:spacing w:line="340" w:lineRule="atLeast"/>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30</w:t>
            </w:r>
          </w:p>
        </w:tc>
        <w:tc>
          <w:tcPr>
            <w:tcW w:w="1285" w:type="dxa"/>
            <w:shd w:val="clear" w:color="auto" w:fill="auto"/>
            <w:vAlign w:val="center"/>
          </w:tcPr>
          <w:p w14:paraId="53524CF1">
            <w:pPr>
              <w:spacing w:line="340" w:lineRule="atLeast"/>
              <w:jc w:val="center"/>
              <w:rPr>
                <w:rFonts w:hint="eastAsia" w:ascii="宋体" w:hAnsi="宋体" w:eastAsia="宋体" w:cs="宋体"/>
                <w:snapToGrid w:val="0"/>
                <w:color w:val="000000"/>
                <w:spacing w:val="-3"/>
                <w:kern w:val="0"/>
                <w:sz w:val="21"/>
                <w:szCs w:val="21"/>
                <w:lang w:val="en-US" w:eastAsia="zh-CN" w:bidi="ar-SA"/>
              </w:rPr>
            </w:pPr>
            <w:r>
              <w:rPr>
                <w:rFonts w:hint="eastAsia" w:ascii="宋体" w:hAnsi="宋体" w:eastAsia="宋体" w:cs="宋体"/>
                <w:snapToGrid w:val="0"/>
                <w:color w:val="000000"/>
                <w:spacing w:val="-3"/>
                <w:kern w:val="0"/>
                <w:sz w:val="21"/>
                <w:szCs w:val="21"/>
              </w:rPr>
              <w:t>西安霖旸科技有限公司</w:t>
            </w:r>
          </w:p>
        </w:tc>
        <w:tc>
          <w:tcPr>
            <w:tcW w:w="786" w:type="dxa"/>
            <w:vAlign w:val="center"/>
          </w:tcPr>
          <w:p w14:paraId="62C3792E">
            <w:pPr>
              <w:spacing w:line="340" w:lineRule="atLeast"/>
              <w:jc w:val="center"/>
              <w:rPr>
                <w:rFonts w:hint="eastAsia" w:ascii="宋体" w:hAnsi="宋体" w:eastAsia="宋体" w:cs="宋体"/>
                <w:sz w:val="21"/>
                <w:szCs w:val="21"/>
              </w:rPr>
            </w:pPr>
          </w:p>
        </w:tc>
      </w:tr>
      <w:tr w14:paraId="7385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vAlign w:val="center"/>
          </w:tcPr>
          <w:p w14:paraId="6403985A">
            <w:pPr>
              <w:snapToGrid w:val="0"/>
              <w:spacing w:line="340" w:lineRule="atLeast"/>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5</w:t>
            </w:r>
          </w:p>
        </w:tc>
        <w:tc>
          <w:tcPr>
            <w:tcW w:w="1549" w:type="dxa"/>
            <w:shd w:val="clear" w:color="auto" w:fill="auto"/>
            <w:vAlign w:val="center"/>
          </w:tcPr>
          <w:p w14:paraId="5EA27FFC">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基于R-C-R结构的时空卷积交通流预测方法及系统</w:t>
            </w:r>
          </w:p>
        </w:tc>
        <w:tc>
          <w:tcPr>
            <w:tcW w:w="3402" w:type="dxa"/>
            <w:shd w:val="clear" w:color="auto" w:fill="auto"/>
            <w:vAlign w:val="center"/>
          </w:tcPr>
          <w:p w14:paraId="1B39B466">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本发明公开了基于R-C-R结构的时空卷积交通流预测方法及系统，涉及交通流预测技术领域，包括：获取交通流数据的训练集；构建交通流预测模型；将训练集输入到交通流预测模型中，对训练集进行预处理,得到预处理后的数据；对预处理后的数据进行时空卷积处理，初步提取数据的空间特征和时间特征；采用ConvLSTM网络作为核心模块，并辅以Resnet网络,构建R-C-R结构的时空特征提取层，获取空间特征与时间特征的动态相关性；经过多次迭代后,生成最优交通流预测模型，得到最优预测结果。本发明对交通流数据浅层和深层的时空特征进行提取同时减少梯度消失对网络功能的限制，提高交通流量预测的准确度。</w:t>
            </w:r>
          </w:p>
        </w:tc>
        <w:tc>
          <w:tcPr>
            <w:tcW w:w="1559" w:type="dxa"/>
            <w:shd w:val="clear" w:color="auto" w:fill="auto"/>
            <w:vAlign w:val="center"/>
          </w:tcPr>
          <w:p w14:paraId="03AE0191">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景志勇、王玉森、石磊、卫琳、高宇飞</w:t>
            </w:r>
          </w:p>
        </w:tc>
        <w:tc>
          <w:tcPr>
            <w:tcW w:w="2134" w:type="dxa"/>
            <w:shd w:val="clear" w:color="auto" w:fill="auto"/>
            <w:vAlign w:val="center"/>
          </w:tcPr>
          <w:p w14:paraId="16B63AD1">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长期使用权（10年）</w:t>
            </w:r>
          </w:p>
        </w:tc>
        <w:tc>
          <w:tcPr>
            <w:tcW w:w="1207" w:type="dxa"/>
            <w:shd w:val="clear" w:color="auto" w:fill="auto"/>
            <w:vAlign w:val="center"/>
          </w:tcPr>
          <w:p w14:paraId="4D3B7689">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技术许可</w:t>
            </w:r>
          </w:p>
          <w:p w14:paraId="3B762470">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cs="宋体"/>
                <w:kern w:val="2"/>
                <w:sz w:val="21"/>
                <w:szCs w:val="21"/>
                <w:lang w:val="en-US" w:eastAsia="zh-CN" w:bidi="ar-SA"/>
              </w:rPr>
            </w:pPr>
          </w:p>
        </w:tc>
        <w:tc>
          <w:tcPr>
            <w:tcW w:w="1371" w:type="dxa"/>
            <w:shd w:val="clear" w:color="auto" w:fill="auto"/>
            <w:vAlign w:val="center"/>
          </w:tcPr>
          <w:p w14:paraId="03F98E50">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11.3</w:t>
            </w:r>
          </w:p>
        </w:tc>
        <w:tc>
          <w:tcPr>
            <w:tcW w:w="1285" w:type="dxa"/>
            <w:shd w:val="clear" w:color="auto" w:fill="auto"/>
            <w:vAlign w:val="center"/>
          </w:tcPr>
          <w:p w14:paraId="789D7145">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cs="宋体"/>
                <w:snapToGrid w:val="0"/>
                <w:color w:val="000000"/>
                <w:spacing w:val="-3"/>
                <w:kern w:val="0"/>
                <w:sz w:val="21"/>
                <w:szCs w:val="21"/>
                <w:lang w:val="en-US" w:eastAsia="zh-CN" w:bidi="ar-SA"/>
              </w:rPr>
            </w:pPr>
            <w:r>
              <w:rPr>
                <w:rFonts w:hint="eastAsia" w:ascii="宋体" w:hAnsi="宋体" w:eastAsia="宋体" w:cs="宋体"/>
                <w:sz w:val="21"/>
                <w:szCs w:val="21"/>
                <w:lang w:val="en-US" w:eastAsia="zh-CN"/>
              </w:rPr>
              <w:t>河北中之鼎信息科技有限公司</w:t>
            </w:r>
          </w:p>
        </w:tc>
        <w:tc>
          <w:tcPr>
            <w:tcW w:w="786" w:type="dxa"/>
            <w:shd w:val="clear" w:color="auto" w:fill="auto"/>
            <w:vAlign w:val="center"/>
          </w:tcPr>
          <w:p w14:paraId="58B1567D">
            <w:pPr>
              <w:keepNext w:val="0"/>
              <w:keepLines w:val="0"/>
              <w:pageBreakBefore w:val="0"/>
              <w:widowControl w:val="0"/>
              <w:kinsoku/>
              <w:wordWrap/>
              <w:overflowPunct/>
              <w:topLinePunct w:val="0"/>
              <w:autoSpaceDE/>
              <w:autoSpaceDN/>
              <w:bidi w:val="0"/>
              <w:adjustRightInd/>
              <w:spacing w:line="640" w:lineRule="exact"/>
              <w:jc w:val="center"/>
              <w:textAlignment w:val="auto"/>
              <w:rPr>
                <w:rFonts w:hint="eastAsia" w:ascii="宋体" w:hAnsi="宋体" w:eastAsia="宋体" w:cs="宋体"/>
                <w:kern w:val="2"/>
                <w:sz w:val="21"/>
                <w:szCs w:val="21"/>
                <w:lang w:val="en-US" w:eastAsia="zh-CN" w:bidi="ar-SA"/>
              </w:rPr>
            </w:pPr>
          </w:p>
        </w:tc>
      </w:tr>
    </w:tbl>
    <w:p w14:paraId="070E2534">
      <w:pPr>
        <w:rPr>
          <w:rFonts w:hint="eastAsia" w:ascii="宋体" w:hAnsi="宋体" w:eastAsia="宋体" w:cs="宋体"/>
          <w:sz w:val="21"/>
          <w:szCs w:val="21"/>
        </w:rPr>
      </w:pPr>
    </w:p>
    <w:p w14:paraId="7EFC453D">
      <w:pPr>
        <w:rPr>
          <w:rFonts w:hint="eastAsia"/>
        </w:rPr>
      </w:pPr>
    </w:p>
    <w:p w14:paraId="64814403">
      <w:pPr>
        <w:rPr>
          <w:rFonts w:hint="eastAsia"/>
        </w:rPr>
      </w:pPr>
    </w:p>
    <w:p w14:paraId="1E473AF6"/>
    <w:p w14:paraId="2DADC05E"/>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1ZmM5M2NiYzViNjc4ZWU1ODNmMjFmYjE5YjlkNzIifQ=="/>
  </w:docVars>
  <w:rsids>
    <w:rsidRoot w:val="1308507D"/>
    <w:rsid w:val="00052CBB"/>
    <w:rsid w:val="00157151"/>
    <w:rsid w:val="002E427E"/>
    <w:rsid w:val="00364FC9"/>
    <w:rsid w:val="00395AB4"/>
    <w:rsid w:val="005C42ED"/>
    <w:rsid w:val="00716049"/>
    <w:rsid w:val="008A6B0F"/>
    <w:rsid w:val="009A0AA5"/>
    <w:rsid w:val="00AA2881"/>
    <w:rsid w:val="00C82B50"/>
    <w:rsid w:val="00D94D17"/>
    <w:rsid w:val="00DB4F9F"/>
    <w:rsid w:val="00DB6361"/>
    <w:rsid w:val="00F35292"/>
    <w:rsid w:val="0F2B62DD"/>
    <w:rsid w:val="101F2BE4"/>
    <w:rsid w:val="1308507D"/>
    <w:rsid w:val="415E2C8C"/>
    <w:rsid w:val="50D852D8"/>
    <w:rsid w:val="58406388"/>
    <w:rsid w:val="58A23798"/>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1052</Words>
  <Characters>1074</Characters>
  <Lines>4</Lines>
  <Paragraphs>1</Paragraphs>
  <TotalTime>2</TotalTime>
  <ScaleCrop>false</ScaleCrop>
  <LinksUpToDate>false</LinksUpToDate>
  <CharactersWithSpaces>1144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2026-10-09T08:01:00Z</dcterms:created>
  <dc:creator>文档存本地丢失不负责</dc:creator>
  <cp:lastModifiedBy>鲍雅如</cp:lastModifiedBy>
  <cp:lastPrinted>2026-10-09T02:54:00Z</cp:lastPrinted>
  <dcterms:modified xsi:type="dcterms:W3CDTF">2026-10-12T07:26:56Z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04E34C3E7BF5406E98A6D3A2BBB78A85_13</vt:lpwstr>
  </property>
  <property fmtid="{D5CDD505-2E9C-101B-9397-08002B2CF9AE}" pid="4" name="KSOTemplateDocerSaveRecord">
    <vt:lpwstr>eyJoZGlkIjoiNjRiMWNhNzcyYTNmZTkwZTQxMjQ2NTA4NDVmOGU4OGYiLCJ1c2VySWQiOiIzMDA5MzIwNzcifQ==</vt:lpwstr>
  </property>
</Properties>
</file>