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A8F733">
      <w:pPr>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val="en-US" w:eastAsia="zh-CN"/>
        </w:rPr>
        <w:t>郑州轻工业大学</w:t>
      </w:r>
      <w:r>
        <w:rPr>
          <w:rFonts w:hint="eastAsia" w:ascii="方正小标宋简体" w:hAnsi="方正小标宋简体" w:eastAsia="方正小标宋简体" w:cs="方正小标宋简体"/>
          <w:sz w:val="44"/>
          <w:szCs w:val="44"/>
          <w:lang w:eastAsia="zh-CN"/>
        </w:rPr>
        <w:t>科研成果赋权情况表</w:t>
      </w:r>
    </w:p>
    <w:p w14:paraId="10B378FA">
      <w:pPr>
        <w:spacing w:before="156" w:beforeLines="50"/>
        <w:jc w:val="center"/>
        <w:rPr>
          <w:rFonts w:ascii="仿宋" w:hAnsi="仿宋" w:eastAsia="仿宋" w:cs="仿宋"/>
          <w:sz w:val="28"/>
          <w:szCs w:val="28"/>
        </w:rPr>
      </w:pPr>
      <w:r>
        <w:rPr>
          <w:rFonts w:hint="eastAsia" w:ascii="仿宋" w:hAnsi="仿宋" w:eastAsia="仿宋" w:cs="仿宋"/>
          <w:sz w:val="28"/>
          <w:szCs w:val="28"/>
        </w:rPr>
        <w:t xml:space="preserve">                                                                      时间：202</w:t>
      </w:r>
      <w:r>
        <w:rPr>
          <w:rFonts w:hint="eastAsia" w:ascii="仿宋" w:hAnsi="仿宋" w:eastAsia="仿宋" w:cs="仿宋"/>
          <w:sz w:val="28"/>
          <w:szCs w:val="28"/>
          <w:lang w:val="en-US" w:eastAsia="zh-CN"/>
        </w:rPr>
        <w:t>5</w:t>
      </w:r>
      <w:r>
        <w:rPr>
          <w:rFonts w:hint="eastAsia" w:ascii="仿宋" w:hAnsi="仿宋" w:eastAsia="仿宋" w:cs="仿宋"/>
          <w:sz w:val="28"/>
          <w:szCs w:val="28"/>
        </w:rPr>
        <w:t>年</w:t>
      </w:r>
      <w:r>
        <w:rPr>
          <w:rFonts w:hint="eastAsia" w:ascii="仿宋" w:hAnsi="仿宋" w:eastAsia="仿宋" w:cs="仿宋"/>
          <w:sz w:val="28"/>
          <w:szCs w:val="28"/>
          <w:lang w:val="en-US" w:eastAsia="zh-CN"/>
        </w:rPr>
        <w:t>9</w:t>
      </w:r>
      <w:r>
        <w:rPr>
          <w:rFonts w:hint="eastAsia" w:ascii="仿宋" w:hAnsi="仿宋" w:eastAsia="仿宋" w:cs="仿宋"/>
          <w:sz w:val="28"/>
          <w:szCs w:val="28"/>
        </w:rPr>
        <w:t>月</w:t>
      </w:r>
      <w:r>
        <w:rPr>
          <w:rFonts w:hint="eastAsia" w:ascii="仿宋" w:hAnsi="仿宋" w:eastAsia="仿宋" w:cs="仿宋"/>
          <w:sz w:val="28"/>
          <w:szCs w:val="28"/>
          <w:lang w:val="en-US" w:eastAsia="zh-CN"/>
        </w:rPr>
        <w:t>30</w:t>
      </w:r>
      <w:r>
        <w:rPr>
          <w:rFonts w:hint="eastAsia" w:ascii="仿宋" w:hAnsi="仿宋" w:eastAsia="仿宋" w:cs="仿宋"/>
          <w:sz w:val="28"/>
          <w:szCs w:val="28"/>
        </w:rPr>
        <w:t>日</w:t>
      </w:r>
    </w:p>
    <w:tbl>
      <w:tblPr>
        <w:tblStyle w:val="2"/>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2135"/>
        <w:gridCol w:w="3381"/>
        <w:gridCol w:w="1915"/>
        <w:gridCol w:w="1443"/>
        <w:gridCol w:w="1234"/>
        <w:gridCol w:w="1177"/>
        <w:gridCol w:w="1222"/>
        <w:gridCol w:w="786"/>
      </w:tblGrid>
      <w:tr w14:paraId="72B4F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shd w:val="clear" w:color="auto" w:fill="auto"/>
            <w:noWrap w:val="0"/>
            <w:vAlign w:val="center"/>
          </w:tcPr>
          <w:p w14:paraId="0ED7C2BE">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序号</w:t>
            </w:r>
          </w:p>
        </w:tc>
        <w:tc>
          <w:tcPr>
            <w:tcW w:w="2135" w:type="dxa"/>
            <w:shd w:val="clear" w:color="auto" w:fill="auto"/>
            <w:noWrap w:val="0"/>
            <w:vAlign w:val="center"/>
          </w:tcPr>
          <w:p w14:paraId="0A1A64E2">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成果名称</w:t>
            </w:r>
          </w:p>
        </w:tc>
        <w:tc>
          <w:tcPr>
            <w:tcW w:w="3381" w:type="dxa"/>
            <w:shd w:val="clear" w:color="auto" w:fill="auto"/>
            <w:noWrap w:val="0"/>
            <w:vAlign w:val="center"/>
          </w:tcPr>
          <w:p w14:paraId="3B835360">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成果内容摘要</w:t>
            </w:r>
          </w:p>
        </w:tc>
        <w:tc>
          <w:tcPr>
            <w:tcW w:w="1915" w:type="dxa"/>
            <w:shd w:val="clear" w:color="auto" w:fill="auto"/>
            <w:noWrap w:val="0"/>
            <w:vAlign w:val="center"/>
          </w:tcPr>
          <w:p w14:paraId="63E1C5F5">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成果完成人</w:t>
            </w:r>
          </w:p>
        </w:tc>
        <w:tc>
          <w:tcPr>
            <w:tcW w:w="1443" w:type="dxa"/>
            <w:shd w:val="clear" w:color="auto" w:fill="auto"/>
            <w:noWrap w:val="0"/>
            <w:vAlign w:val="center"/>
          </w:tcPr>
          <w:p w14:paraId="6FA1F8AA">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lang w:eastAsia="zh-CN"/>
              </w:rPr>
            </w:pPr>
            <w:r>
              <w:rPr>
                <w:rFonts w:hint="eastAsia" w:ascii="黑体" w:hAnsi="黑体" w:eastAsia="黑体" w:cs="黑体"/>
                <w:sz w:val="24"/>
                <w:lang w:eastAsia="zh-CN"/>
              </w:rPr>
              <w:t>赋权类型</w:t>
            </w:r>
          </w:p>
        </w:tc>
        <w:tc>
          <w:tcPr>
            <w:tcW w:w="1234" w:type="dxa"/>
            <w:shd w:val="clear" w:color="auto" w:fill="auto"/>
            <w:noWrap w:val="0"/>
            <w:vAlign w:val="center"/>
          </w:tcPr>
          <w:p w14:paraId="4FCC3B96">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转化</w:t>
            </w:r>
          </w:p>
          <w:p w14:paraId="763DCAC2">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方式</w:t>
            </w:r>
          </w:p>
        </w:tc>
        <w:tc>
          <w:tcPr>
            <w:tcW w:w="1177" w:type="dxa"/>
            <w:shd w:val="clear" w:color="auto" w:fill="auto"/>
            <w:noWrap w:val="0"/>
            <w:vAlign w:val="center"/>
          </w:tcPr>
          <w:p w14:paraId="23CA06D8">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交易金额（万</w:t>
            </w:r>
            <w:r>
              <w:rPr>
                <w:rFonts w:hint="eastAsia" w:ascii="黑体" w:hAnsi="黑体" w:eastAsia="黑体" w:cs="黑体"/>
                <w:sz w:val="24"/>
                <w:lang w:val="en-US" w:eastAsia="zh-CN"/>
              </w:rPr>
              <w:t>元</w:t>
            </w:r>
            <w:r>
              <w:rPr>
                <w:rFonts w:hint="eastAsia" w:ascii="黑体" w:hAnsi="黑体" w:eastAsia="黑体" w:cs="黑体"/>
                <w:sz w:val="24"/>
              </w:rPr>
              <w:t>）</w:t>
            </w:r>
          </w:p>
        </w:tc>
        <w:tc>
          <w:tcPr>
            <w:tcW w:w="1222" w:type="dxa"/>
            <w:shd w:val="clear" w:color="auto" w:fill="auto"/>
            <w:noWrap w:val="0"/>
            <w:vAlign w:val="center"/>
          </w:tcPr>
          <w:p w14:paraId="08E8CE9E">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受让方</w:t>
            </w:r>
          </w:p>
        </w:tc>
        <w:tc>
          <w:tcPr>
            <w:tcW w:w="786" w:type="dxa"/>
            <w:shd w:val="clear" w:color="auto" w:fill="auto"/>
            <w:noWrap w:val="0"/>
            <w:vAlign w:val="center"/>
          </w:tcPr>
          <w:p w14:paraId="71494B1F">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备注</w:t>
            </w:r>
          </w:p>
        </w:tc>
      </w:tr>
      <w:tr w14:paraId="4C77B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6CB4C332">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lang w:val="en-US" w:eastAsia="zh-CN"/>
              </w:rPr>
            </w:pPr>
            <w:r>
              <w:rPr>
                <w:rFonts w:hint="eastAsia" w:ascii="黑体" w:hAnsi="黑体" w:eastAsia="黑体" w:cs="黑体"/>
                <w:sz w:val="24"/>
                <w:lang w:val="en-US" w:eastAsia="zh-CN"/>
              </w:rPr>
              <w:t>1</w:t>
            </w:r>
          </w:p>
        </w:tc>
        <w:tc>
          <w:tcPr>
            <w:tcW w:w="2135" w:type="dxa"/>
            <w:shd w:val="clear" w:color="auto" w:fill="auto"/>
            <w:noWrap w:val="0"/>
            <w:vAlign w:val="center"/>
          </w:tcPr>
          <w:p w14:paraId="7F385629">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仿宋" w:hAnsi="仿宋" w:eastAsia="仿宋" w:cs="仿宋"/>
                <w:snapToGrid w:val="0"/>
                <w:color w:val="000000"/>
                <w:spacing w:val="-4"/>
                <w:kern w:val="0"/>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shd w:val="clear" w:color="auto" w:fill="FFFFFF"/>
                <w:lang w:val="en-US" w:eastAsia="zh-CN" w:bidi="ar"/>
              </w:rPr>
              <w:t>一种智能反射表面辅助的干扰消除方法</w:t>
            </w:r>
          </w:p>
        </w:tc>
        <w:tc>
          <w:tcPr>
            <w:tcW w:w="3381" w:type="dxa"/>
            <w:shd w:val="clear" w:color="auto" w:fill="auto"/>
            <w:noWrap w:val="0"/>
            <w:vAlign w:val="center"/>
          </w:tcPr>
          <w:p w14:paraId="30588F50">
            <w:pPr>
              <w:keepNext w:val="0"/>
              <w:keepLines w:val="0"/>
              <w:pageBreakBefore w:val="0"/>
              <w:widowControl w:val="0"/>
              <w:kinsoku/>
              <w:wordWrap/>
              <w:overflowPunct/>
              <w:topLinePunct w:val="0"/>
              <w:autoSpaceDE/>
              <w:autoSpaceDN/>
              <w:bidi w:val="0"/>
              <w:adjustRightInd/>
              <w:spacing w:before="78" w:line="340" w:lineRule="atLeast"/>
              <w:ind w:firstLine="480" w:firstLineChars="200"/>
              <w:jc w:val="left"/>
              <w:textAlignment w:val="auto"/>
              <w:rPr>
                <w:rFonts w:hint="eastAsia" w:ascii="仿宋" w:hAnsi="仿宋" w:eastAsia="仿宋" w:cs="仿宋"/>
                <w:snapToGrid w:val="0"/>
                <w:color w:val="000000"/>
                <w:spacing w:val="-4"/>
                <w:kern w:val="0"/>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shd w:val="clear" w:color="auto" w:fill="FFFFFF"/>
                <w:lang w:val="en-US" w:eastAsia="zh-CN" w:bidi="ar"/>
              </w:rPr>
              <w:t>本发明提出了一种智能反射表面辅助的干扰消除方法，不需要期望通信对与干扰发射机进行高度协作以获取与干扰有关的信息，可以利用智能反射表面对干扰进行有效的消除，从而减少信令开销、降低期望通信对的复杂度、改善期望通信对的通信质量。</w:t>
            </w:r>
          </w:p>
        </w:tc>
        <w:tc>
          <w:tcPr>
            <w:tcW w:w="1915" w:type="dxa"/>
            <w:shd w:val="clear" w:color="auto" w:fill="auto"/>
            <w:noWrap w:val="0"/>
            <w:vAlign w:val="center"/>
          </w:tcPr>
          <w:p w14:paraId="68829CE1">
            <w:pPr>
              <w:keepNext w:val="0"/>
              <w:keepLines w:val="0"/>
              <w:pageBreakBefore w:val="0"/>
              <w:widowControl w:val="0"/>
              <w:kinsoku/>
              <w:wordWrap/>
              <w:overflowPunct/>
              <w:topLinePunct w:val="0"/>
              <w:autoSpaceDE/>
              <w:autoSpaceDN/>
              <w:bidi w:val="0"/>
              <w:adjustRightInd/>
              <w:snapToGrid w:val="0"/>
              <w:spacing w:line="340" w:lineRule="atLeast"/>
              <w:jc w:val="left"/>
              <w:textAlignment w:val="auto"/>
              <w:rPr>
                <w:rFonts w:hint="eastAsia"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szCs w:val="24"/>
                <w:lang w:val="en-US" w:eastAsia="zh-CN" w:bidi="ar-SA"/>
              </w:rPr>
              <w:t>丁汉清；刘芳华；李钊；粱秀娟；丁子航；曾健；金艳艳</w:t>
            </w:r>
          </w:p>
        </w:tc>
        <w:tc>
          <w:tcPr>
            <w:tcW w:w="1443" w:type="dxa"/>
            <w:shd w:val="clear" w:color="auto" w:fill="auto"/>
            <w:noWrap w:val="0"/>
            <w:vAlign w:val="center"/>
          </w:tcPr>
          <w:p w14:paraId="7A6C117E">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default" w:ascii="仿宋" w:hAnsi="仿宋" w:eastAsia="仿宋" w:cs="仿宋"/>
                <w:snapToGrid w:val="0"/>
                <w:color w:val="000000"/>
                <w:spacing w:val="-4"/>
                <w:kern w:val="0"/>
                <w:sz w:val="24"/>
                <w:szCs w:val="24"/>
                <w:lang w:val="en-US" w:eastAsia="zh-CN" w:bidi="ar-SA"/>
              </w:rPr>
            </w:pPr>
            <w:r>
              <w:rPr>
                <w:rFonts w:hint="eastAsia" w:ascii="仿宋" w:hAnsi="仿宋" w:eastAsia="仿宋" w:cs="仿宋"/>
                <w:snapToGrid w:val="0"/>
                <w:color w:val="000000"/>
                <w:spacing w:val="-4"/>
                <w:kern w:val="0"/>
                <w:sz w:val="24"/>
                <w:szCs w:val="24"/>
                <w:lang w:val="en-US" w:eastAsia="zh-CN" w:bidi="ar-SA"/>
              </w:rPr>
              <w:t>长期使用权（10年）</w:t>
            </w:r>
          </w:p>
        </w:tc>
        <w:tc>
          <w:tcPr>
            <w:tcW w:w="1234" w:type="dxa"/>
            <w:shd w:val="clear" w:color="auto" w:fill="auto"/>
            <w:noWrap w:val="0"/>
            <w:vAlign w:val="center"/>
          </w:tcPr>
          <w:p w14:paraId="17E4E877">
            <w:pPr>
              <w:keepNext w:val="0"/>
              <w:keepLines w:val="0"/>
              <w:pageBreakBefore w:val="0"/>
              <w:widowControl w:val="0"/>
              <w:kinsoku/>
              <w:wordWrap/>
              <w:overflowPunct/>
              <w:topLinePunct w:val="0"/>
              <w:autoSpaceDE/>
              <w:autoSpaceDN/>
              <w:bidi w:val="0"/>
              <w:adjustRightInd/>
              <w:spacing w:line="340" w:lineRule="atLeast"/>
              <w:jc w:val="center"/>
              <w:textAlignment w:val="auto"/>
              <w:rPr>
                <w:rFonts w:hint="default" w:ascii="仿宋" w:hAnsi="仿宋" w:eastAsia="仿宋" w:cs="仿宋"/>
                <w:sz w:val="24"/>
                <w:lang w:val="en-US" w:eastAsia="zh-CN"/>
              </w:rPr>
            </w:pPr>
            <w:r>
              <w:rPr>
                <w:rFonts w:hint="eastAsia" w:ascii="仿宋" w:hAnsi="仿宋" w:eastAsia="仿宋" w:cs="仿宋"/>
                <w:sz w:val="24"/>
                <w:lang w:val="en-US" w:eastAsia="zh-CN"/>
              </w:rPr>
              <w:t>技术许可</w:t>
            </w:r>
          </w:p>
          <w:p w14:paraId="39DAF5A8">
            <w:pPr>
              <w:keepNext w:val="0"/>
              <w:keepLines w:val="0"/>
              <w:pageBreakBefore w:val="0"/>
              <w:widowControl w:val="0"/>
              <w:kinsoku/>
              <w:wordWrap/>
              <w:overflowPunct/>
              <w:topLinePunct w:val="0"/>
              <w:autoSpaceDE/>
              <w:autoSpaceDN/>
              <w:bidi w:val="0"/>
              <w:adjustRightInd/>
              <w:spacing w:line="340" w:lineRule="atLeast"/>
              <w:jc w:val="center"/>
              <w:textAlignment w:val="auto"/>
              <w:rPr>
                <w:rFonts w:hint="eastAsia" w:ascii="仿宋" w:hAnsi="仿宋" w:eastAsia="仿宋" w:cs="仿宋"/>
                <w:kern w:val="2"/>
                <w:sz w:val="24"/>
                <w:szCs w:val="24"/>
                <w:lang w:val="en-US" w:eastAsia="zh-CN" w:bidi="ar-SA"/>
              </w:rPr>
            </w:pPr>
          </w:p>
        </w:tc>
        <w:tc>
          <w:tcPr>
            <w:tcW w:w="1177" w:type="dxa"/>
            <w:shd w:val="clear" w:color="auto" w:fill="auto"/>
            <w:noWrap w:val="0"/>
            <w:vAlign w:val="center"/>
          </w:tcPr>
          <w:p w14:paraId="028F437A">
            <w:pPr>
              <w:keepNext w:val="0"/>
              <w:keepLines w:val="0"/>
              <w:pageBreakBefore w:val="0"/>
              <w:widowControl w:val="0"/>
              <w:kinsoku/>
              <w:wordWrap/>
              <w:overflowPunct/>
              <w:topLinePunct w:val="0"/>
              <w:autoSpaceDE/>
              <w:autoSpaceDN/>
              <w:bidi w:val="0"/>
              <w:adjustRightInd/>
              <w:spacing w:line="340" w:lineRule="atLeast"/>
              <w:jc w:val="center"/>
              <w:textAlignment w:val="auto"/>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3.2</w:t>
            </w:r>
          </w:p>
        </w:tc>
        <w:tc>
          <w:tcPr>
            <w:tcW w:w="1222" w:type="dxa"/>
            <w:shd w:val="clear" w:color="auto" w:fill="auto"/>
            <w:noWrap w:val="0"/>
            <w:vAlign w:val="center"/>
          </w:tcPr>
          <w:p w14:paraId="32F30109">
            <w:pPr>
              <w:keepNext w:val="0"/>
              <w:keepLines w:val="0"/>
              <w:pageBreakBefore w:val="0"/>
              <w:widowControl w:val="0"/>
              <w:kinsoku/>
              <w:wordWrap/>
              <w:overflowPunct/>
              <w:topLinePunct w:val="0"/>
              <w:autoSpaceDE/>
              <w:autoSpaceDN/>
              <w:bidi w:val="0"/>
              <w:adjustRightInd/>
              <w:spacing w:line="340" w:lineRule="atLeast"/>
              <w:jc w:val="center"/>
              <w:textAlignment w:val="auto"/>
              <w:rPr>
                <w:rFonts w:hint="eastAsia" w:ascii="仿宋" w:hAnsi="仿宋" w:eastAsia="仿宋" w:cs="仿宋"/>
                <w:snapToGrid w:val="0"/>
                <w:color w:val="000000"/>
                <w:spacing w:val="-3"/>
                <w:kern w:val="0"/>
                <w:sz w:val="24"/>
                <w:szCs w:val="24"/>
                <w:lang w:val="en-US" w:eastAsia="zh-CN" w:bidi="ar-SA"/>
              </w:rPr>
            </w:pPr>
            <w:r>
              <w:rPr>
                <w:rFonts w:hint="eastAsia" w:ascii="仿宋_GB2312" w:hAnsi="仿宋_GB2312" w:eastAsia="仿宋_GB2312" w:cs="仿宋_GB2312"/>
                <w:i w:val="0"/>
                <w:iCs w:val="0"/>
                <w:caps w:val="0"/>
                <w:color w:val="333333"/>
                <w:spacing w:val="0"/>
                <w:kern w:val="0"/>
                <w:sz w:val="24"/>
                <w:szCs w:val="24"/>
                <w:shd w:val="clear" w:color="auto" w:fill="FFFFFF"/>
                <w:lang w:val="en-US" w:eastAsia="zh-CN" w:bidi="ar"/>
              </w:rPr>
              <w:t>郑州熠胜智能科技有限公司</w:t>
            </w:r>
          </w:p>
        </w:tc>
        <w:tc>
          <w:tcPr>
            <w:tcW w:w="786" w:type="dxa"/>
            <w:shd w:val="clear" w:color="auto" w:fill="auto"/>
            <w:noWrap w:val="0"/>
            <w:vAlign w:val="center"/>
          </w:tcPr>
          <w:p w14:paraId="6F3475C2">
            <w:pPr>
              <w:keepNext w:val="0"/>
              <w:keepLines w:val="0"/>
              <w:pageBreakBefore w:val="0"/>
              <w:widowControl w:val="0"/>
              <w:kinsoku/>
              <w:wordWrap/>
              <w:overflowPunct/>
              <w:topLinePunct w:val="0"/>
              <w:autoSpaceDE/>
              <w:autoSpaceDN/>
              <w:bidi w:val="0"/>
              <w:adjustRightInd/>
              <w:spacing w:line="340" w:lineRule="atLeast"/>
              <w:jc w:val="center"/>
              <w:textAlignment w:val="auto"/>
              <w:rPr>
                <w:rFonts w:hint="eastAsia" w:ascii="仿宋" w:hAnsi="仿宋" w:eastAsia="仿宋" w:cs="仿宋"/>
                <w:kern w:val="2"/>
                <w:sz w:val="28"/>
                <w:szCs w:val="28"/>
                <w:lang w:val="en-US" w:eastAsia="zh-CN" w:bidi="ar-SA"/>
              </w:rPr>
            </w:pPr>
          </w:p>
        </w:tc>
      </w:tr>
    </w:tbl>
    <w:p w14:paraId="552F3CB7"/>
    <w:p w14:paraId="3A86258D"/>
    <w:p w14:paraId="1A605FB7">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67A2EA9"/>
    <w:rsid w:val="0F2B62DD"/>
    <w:rsid w:val="1308507D"/>
    <w:rsid w:val="415E2C8C"/>
    <w:rsid w:val="50D852D8"/>
    <w:rsid w:val="58406388"/>
    <w:rsid w:val="6C0E7985"/>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243</Words>
  <Characters>249</Characters>
  <Lines>0</Lines>
  <Paragraphs>0</Paragraphs>
  <TotalTime>0</TotalTime>
  <ScaleCrop>false</ScaleCrop>
  <LinksUpToDate>false</LinksUpToDate>
  <CharactersWithSpaces>319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2025-09-30T04:03:20Z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