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2110F3">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42941936">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时间：2025年12月5日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974"/>
        <w:gridCol w:w="3529"/>
        <w:gridCol w:w="1755"/>
        <w:gridCol w:w="1386"/>
        <w:gridCol w:w="1207"/>
        <w:gridCol w:w="1195"/>
        <w:gridCol w:w="1461"/>
        <w:gridCol w:w="786"/>
      </w:tblGrid>
      <w:tr w14:paraId="76D4A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vAlign w:val="center"/>
          </w:tcPr>
          <w:p w14:paraId="46980BC7">
            <w:pPr>
              <w:snapToGrid w:val="0"/>
              <w:spacing w:line="340" w:lineRule="atLeast"/>
              <w:jc w:val="center"/>
              <w:rPr>
                <w:rFonts w:ascii="黑体" w:hAnsi="黑体" w:eastAsia="黑体" w:cs="黑体"/>
                <w:sz w:val="24"/>
              </w:rPr>
            </w:pPr>
            <w:r>
              <w:rPr>
                <w:rFonts w:hint="eastAsia" w:ascii="黑体" w:hAnsi="黑体" w:eastAsia="黑体" w:cs="黑体"/>
                <w:sz w:val="24"/>
              </w:rPr>
              <w:t>序号</w:t>
            </w:r>
          </w:p>
        </w:tc>
        <w:tc>
          <w:tcPr>
            <w:tcW w:w="1974" w:type="dxa"/>
            <w:vAlign w:val="center"/>
          </w:tcPr>
          <w:p w14:paraId="52089EFE">
            <w:pPr>
              <w:snapToGrid w:val="0"/>
              <w:spacing w:line="340" w:lineRule="atLeast"/>
              <w:jc w:val="center"/>
              <w:rPr>
                <w:rFonts w:ascii="黑体" w:hAnsi="黑体" w:eastAsia="黑体" w:cs="黑体"/>
                <w:sz w:val="24"/>
              </w:rPr>
            </w:pPr>
            <w:r>
              <w:rPr>
                <w:rFonts w:hint="eastAsia" w:ascii="黑体" w:hAnsi="黑体" w:eastAsia="黑体" w:cs="黑体"/>
                <w:sz w:val="24"/>
              </w:rPr>
              <w:t>成果名称</w:t>
            </w:r>
          </w:p>
        </w:tc>
        <w:tc>
          <w:tcPr>
            <w:tcW w:w="3529" w:type="dxa"/>
            <w:vAlign w:val="center"/>
          </w:tcPr>
          <w:p w14:paraId="2FC85DFA">
            <w:pPr>
              <w:snapToGrid w:val="0"/>
              <w:spacing w:line="340" w:lineRule="atLeast"/>
              <w:jc w:val="center"/>
              <w:rPr>
                <w:rFonts w:ascii="黑体" w:hAnsi="黑体" w:eastAsia="黑体" w:cs="黑体"/>
                <w:sz w:val="24"/>
              </w:rPr>
            </w:pPr>
            <w:r>
              <w:rPr>
                <w:rFonts w:hint="eastAsia" w:ascii="黑体" w:hAnsi="黑体" w:eastAsia="黑体" w:cs="黑体"/>
                <w:sz w:val="24"/>
              </w:rPr>
              <w:t>成果内容摘要</w:t>
            </w:r>
          </w:p>
        </w:tc>
        <w:tc>
          <w:tcPr>
            <w:tcW w:w="1755" w:type="dxa"/>
            <w:vAlign w:val="center"/>
          </w:tcPr>
          <w:p w14:paraId="34CA0248">
            <w:pPr>
              <w:snapToGrid w:val="0"/>
              <w:spacing w:line="340" w:lineRule="atLeast"/>
              <w:jc w:val="center"/>
              <w:rPr>
                <w:rFonts w:ascii="黑体" w:hAnsi="黑体" w:eastAsia="黑体" w:cs="黑体"/>
                <w:sz w:val="24"/>
              </w:rPr>
            </w:pPr>
            <w:r>
              <w:rPr>
                <w:rFonts w:hint="eastAsia" w:ascii="黑体" w:hAnsi="黑体" w:eastAsia="黑体" w:cs="黑体"/>
                <w:sz w:val="24"/>
              </w:rPr>
              <w:t>成果完成人</w:t>
            </w:r>
          </w:p>
        </w:tc>
        <w:tc>
          <w:tcPr>
            <w:tcW w:w="1386" w:type="dxa"/>
            <w:vAlign w:val="center"/>
          </w:tcPr>
          <w:p w14:paraId="44C6626B">
            <w:pPr>
              <w:snapToGrid w:val="0"/>
              <w:spacing w:line="340" w:lineRule="atLeast"/>
              <w:jc w:val="center"/>
              <w:rPr>
                <w:rFonts w:ascii="黑体" w:hAnsi="黑体" w:eastAsia="黑体" w:cs="黑体"/>
                <w:sz w:val="24"/>
              </w:rPr>
            </w:pPr>
            <w:r>
              <w:rPr>
                <w:rFonts w:hint="eastAsia" w:ascii="黑体" w:hAnsi="黑体" w:eastAsia="黑体" w:cs="黑体"/>
                <w:sz w:val="24"/>
              </w:rPr>
              <w:t>赋权类型</w:t>
            </w:r>
          </w:p>
        </w:tc>
        <w:tc>
          <w:tcPr>
            <w:tcW w:w="1207" w:type="dxa"/>
            <w:vAlign w:val="center"/>
          </w:tcPr>
          <w:p w14:paraId="09BA69AF">
            <w:pPr>
              <w:snapToGrid w:val="0"/>
              <w:spacing w:line="340" w:lineRule="atLeast"/>
              <w:jc w:val="center"/>
              <w:rPr>
                <w:rFonts w:ascii="黑体" w:hAnsi="黑体" w:eastAsia="黑体" w:cs="黑体"/>
                <w:sz w:val="24"/>
              </w:rPr>
            </w:pPr>
            <w:r>
              <w:rPr>
                <w:rFonts w:hint="eastAsia" w:ascii="黑体" w:hAnsi="黑体" w:eastAsia="黑体" w:cs="黑体"/>
                <w:sz w:val="24"/>
              </w:rPr>
              <w:t>转化</w:t>
            </w:r>
          </w:p>
          <w:p w14:paraId="4F7504A3">
            <w:pPr>
              <w:snapToGrid w:val="0"/>
              <w:spacing w:line="340" w:lineRule="atLeast"/>
              <w:jc w:val="center"/>
              <w:rPr>
                <w:rFonts w:ascii="黑体" w:hAnsi="黑体" w:eastAsia="黑体" w:cs="黑体"/>
                <w:sz w:val="24"/>
              </w:rPr>
            </w:pPr>
            <w:r>
              <w:rPr>
                <w:rFonts w:hint="eastAsia" w:ascii="黑体" w:hAnsi="黑体" w:eastAsia="黑体" w:cs="黑体"/>
                <w:sz w:val="24"/>
              </w:rPr>
              <w:t>方式</w:t>
            </w:r>
          </w:p>
        </w:tc>
        <w:tc>
          <w:tcPr>
            <w:tcW w:w="1195" w:type="dxa"/>
            <w:vAlign w:val="center"/>
          </w:tcPr>
          <w:p w14:paraId="573FC58B">
            <w:pPr>
              <w:snapToGrid w:val="0"/>
              <w:spacing w:line="340" w:lineRule="atLeast"/>
              <w:jc w:val="center"/>
              <w:rPr>
                <w:rFonts w:ascii="黑体" w:hAnsi="黑体" w:eastAsia="黑体" w:cs="黑体"/>
                <w:sz w:val="24"/>
              </w:rPr>
            </w:pPr>
            <w:r>
              <w:rPr>
                <w:rFonts w:hint="eastAsia" w:ascii="黑体" w:hAnsi="黑体" w:eastAsia="黑体" w:cs="黑体"/>
                <w:sz w:val="24"/>
              </w:rPr>
              <w:t>交易金额（万元）</w:t>
            </w:r>
          </w:p>
        </w:tc>
        <w:tc>
          <w:tcPr>
            <w:tcW w:w="1461" w:type="dxa"/>
            <w:vAlign w:val="center"/>
          </w:tcPr>
          <w:p w14:paraId="448A47A7">
            <w:pPr>
              <w:snapToGrid w:val="0"/>
              <w:spacing w:line="340" w:lineRule="atLeast"/>
              <w:jc w:val="center"/>
              <w:rPr>
                <w:rFonts w:ascii="黑体" w:hAnsi="黑体" w:eastAsia="黑体" w:cs="黑体"/>
                <w:sz w:val="24"/>
              </w:rPr>
            </w:pPr>
            <w:r>
              <w:rPr>
                <w:rFonts w:hint="eastAsia" w:ascii="黑体" w:hAnsi="黑体" w:eastAsia="黑体" w:cs="黑体"/>
                <w:sz w:val="24"/>
              </w:rPr>
              <w:t>受让方</w:t>
            </w:r>
          </w:p>
        </w:tc>
        <w:tc>
          <w:tcPr>
            <w:tcW w:w="786" w:type="dxa"/>
            <w:vAlign w:val="center"/>
          </w:tcPr>
          <w:p w14:paraId="07EBA990">
            <w:pPr>
              <w:snapToGrid w:val="0"/>
              <w:spacing w:line="340" w:lineRule="atLeast"/>
              <w:jc w:val="center"/>
              <w:rPr>
                <w:rFonts w:ascii="黑体" w:hAnsi="黑体" w:eastAsia="黑体" w:cs="黑体"/>
                <w:sz w:val="24"/>
              </w:rPr>
            </w:pPr>
            <w:r>
              <w:rPr>
                <w:rFonts w:hint="eastAsia" w:ascii="黑体" w:hAnsi="黑体" w:eastAsia="黑体" w:cs="黑体"/>
                <w:sz w:val="24"/>
              </w:rPr>
              <w:t>备注</w:t>
            </w:r>
          </w:p>
        </w:tc>
      </w:tr>
      <w:tr w14:paraId="36AFC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1266E946">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color w:val="333333"/>
                <w:kern w:val="0"/>
                <w:sz w:val="18"/>
                <w:szCs w:val="18"/>
                <w:shd w:val="clear" w:color="auto" w:fill="FFFFFF"/>
                <w:lang w:val="en-US" w:eastAsia="zh-CN"/>
              </w:rPr>
            </w:pPr>
            <w:r>
              <w:rPr>
                <w:rFonts w:hint="eastAsia" w:ascii="仿宋" w:hAnsi="仿宋" w:eastAsia="仿宋" w:cs="仿宋"/>
                <w:color w:val="333333"/>
                <w:kern w:val="0"/>
                <w:sz w:val="18"/>
                <w:szCs w:val="18"/>
                <w:shd w:val="clear" w:color="auto" w:fill="FFFFFF"/>
                <w:lang w:val="en-US" w:eastAsia="zh-CN"/>
              </w:rPr>
              <w:t>1</w:t>
            </w:r>
          </w:p>
        </w:tc>
        <w:tc>
          <w:tcPr>
            <w:tcW w:w="1974" w:type="dxa"/>
            <w:shd w:val="clear" w:color="auto" w:fill="auto"/>
            <w:vAlign w:val="center"/>
          </w:tcPr>
          <w:p w14:paraId="6182AC87">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rPr>
              <w:t>一种基于卡尔曼滤波和PID控制的火灾烟气温度测量方法</w:t>
            </w:r>
          </w:p>
        </w:tc>
        <w:tc>
          <w:tcPr>
            <w:tcW w:w="3529" w:type="dxa"/>
            <w:shd w:val="clear" w:color="auto" w:fill="auto"/>
            <w:vAlign w:val="center"/>
          </w:tcPr>
          <w:p w14:paraId="5605A763">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rPr>
              <w:t>卡尔曼滤波和PID控制的火灾烟气温度测量方法，用以解决现有烟气温度测量方法存在滞后性，且有时无有效测量的技术问题。本发明通过感温火灾探测器对火灾着火区域进行实时测量，得到火灾烟气温度数据；根据得到的火灾烟气温度数据建立软测量数学模型；利用PID控制器对软测量模型进行处理，控制烟气温度信号；通过卡尔曼滤波对烟气温度信号进行温度的预测。本发明利用基于卡尔曼滤波器的PID控制技术，对火灾发生时烟气温度进行最优估计，对烟气温度信号有较好的控制功能，可以使得火灾烟气温度监测系统比较快速的达到稳定状态。本发明可以快速准确测量火灾烟气温度，缩短火灾的预测时间，具有较好的准确性和及时性。</w:t>
            </w:r>
          </w:p>
        </w:tc>
        <w:tc>
          <w:tcPr>
            <w:tcW w:w="1755" w:type="dxa"/>
            <w:shd w:val="clear" w:color="auto" w:fill="auto"/>
            <w:vAlign w:val="center"/>
          </w:tcPr>
          <w:p w14:paraId="60BBA6DB">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rPr>
              <w:t>白振鹏</w:t>
            </w:r>
            <w:r>
              <w:rPr>
                <w:rFonts w:hint="eastAsia" w:ascii="仿宋" w:hAnsi="仿宋" w:eastAsia="仿宋" w:cs="仿宋"/>
                <w:snapToGrid w:val="0"/>
                <w:color w:val="000000"/>
                <w:spacing w:val="-4"/>
                <w:kern w:val="0"/>
                <w:sz w:val="18"/>
                <w:szCs w:val="18"/>
              </w:rPr>
              <w:t>,</w:t>
            </w:r>
            <w:r>
              <w:rPr>
                <w:rFonts w:hint="eastAsia" w:ascii="仿宋" w:hAnsi="仿宋" w:eastAsia="仿宋" w:cs="仿宋"/>
                <w:snapToGrid w:val="0"/>
                <w:color w:val="000000"/>
                <w:spacing w:val="-4"/>
                <w:kern w:val="0"/>
                <w:sz w:val="18"/>
                <w:szCs w:val="18"/>
                <w:lang w:val="en-US" w:eastAsia="zh-CN"/>
              </w:rPr>
              <w:t>李淮周</w:t>
            </w:r>
            <w:r>
              <w:rPr>
                <w:rFonts w:hint="eastAsia" w:ascii="仿宋" w:hAnsi="仿宋" w:eastAsia="仿宋" w:cs="仿宋"/>
                <w:snapToGrid w:val="0"/>
                <w:color w:val="000000"/>
                <w:spacing w:val="-4"/>
                <w:kern w:val="0"/>
                <w:sz w:val="18"/>
                <w:szCs w:val="18"/>
              </w:rPr>
              <w:t>,</w:t>
            </w:r>
            <w:r>
              <w:rPr>
                <w:rFonts w:hint="eastAsia" w:ascii="仿宋" w:hAnsi="仿宋" w:eastAsia="仿宋" w:cs="仿宋"/>
                <w:snapToGrid w:val="0"/>
                <w:color w:val="000000"/>
                <w:spacing w:val="-4"/>
                <w:kern w:val="0"/>
                <w:sz w:val="18"/>
                <w:szCs w:val="18"/>
                <w:lang w:val="en-US" w:eastAsia="zh-CN"/>
              </w:rPr>
              <w:t>王永东，李森</w:t>
            </w:r>
            <w:r>
              <w:rPr>
                <w:rFonts w:hint="eastAsia" w:ascii="仿宋" w:hAnsi="仿宋" w:eastAsia="仿宋" w:cs="仿宋"/>
                <w:snapToGrid w:val="0"/>
                <w:color w:val="000000"/>
                <w:spacing w:val="-4"/>
                <w:kern w:val="0"/>
                <w:sz w:val="18"/>
                <w:szCs w:val="18"/>
              </w:rPr>
              <w:t>,</w:t>
            </w:r>
            <w:r>
              <w:rPr>
                <w:rFonts w:hint="eastAsia" w:ascii="仿宋" w:hAnsi="仿宋" w:eastAsia="仿宋" w:cs="仿宋"/>
                <w:snapToGrid w:val="0"/>
                <w:color w:val="000000"/>
                <w:spacing w:val="-4"/>
                <w:kern w:val="0"/>
                <w:sz w:val="18"/>
                <w:szCs w:val="18"/>
                <w:lang w:val="en-US" w:eastAsia="zh-CN"/>
              </w:rPr>
              <w:t>吴艳敏</w:t>
            </w:r>
            <w:r>
              <w:rPr>
                <w:rFonts w:hint="eastAsia" w:ascii="仿宋" w:hAnsi="仿宋" w:eastAsia="仿宋" w:cs="仿宋"/>
                <w:snapToGrid w:val="0"/>
                <w:color w:val="000000"/>
                <w:spacing w:val="-4"/>
                <w:kern w:val="0"/>
                <w:sz w:val="18"/>
                <w:szCs w:val="18"/>
              </w:rPr>
              <w:t>,</w:t>
            </w:r>
            <w:r>
              <w:rPr>
                <w:rFonts w:hint="eastAsia" w:ascii="仿宋" w:hAnsi="仿宋" w:eastAsia="仿宋" w:cs="仿宋"/>
                <w:snapToGrid w:val="0"/>
                <w:color w:val="000000"/>
                <w:spacing w:val="-4"/>
                <w:kern w:val="0"/>
                <w:sz w:val="18"/>
                <w:szCs w:val="18"/>
                <w:lang w:val="en-US" w:eastAsia="zh-CN"/>
              </w:rPr>
              <w:t>武东辉</w:t>
            </w:r>
          </w:p>
        </w:tc>
        <w:tc>
          <w:tcPr>
            <w:tcW w:w="1386" w:type="dxa"/>
            <w:shd w:val="clear" w:color="auto" w:fill="auto"/>
            <w:vAlign w:val="center"/>
          </w:tcPr>
          <w:p w14:paraId="78FC64F1">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长期使用权（10年）</w:t>
            </w:r>
          </w:p>
        </w:tc>
        <w:tc>
          <w:tcPr>
            <w:tcW w:w="1207" w:type="dxa"/>
            <w:shd w:val="clear" w:color="auto" w:fill="auto"/>
            <w:vAlign w:val="center"/>
          </w:tcPr>
          <w:p w14:paraId="20B98067">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2"/>
                <w:sz w:val="18"/>
                <w:szCs w:val="18"/>
                <w:lang w:val="en-US" w:eastAsia="zh-CN" w:bidi="ar-SA"/>
              </w:rPr>
            </w:pPr>
            <w:r>
              <w:rPr>
                <w:rFonts w:hint="eastAsia" w:ascii="仿宋" w:hAnsi="仿宋" w:eastAsia="仿宋" w:cs="仿宋"/>
                <w:sz w:val="18"/>
                <w:szCs w:val="18"/>
              </w:rPr>
              <w:t>技术许可</w:t>
            </w:r>
          </w:p>
        </w:tc>
        <w:tc>
          <w:tcPr>
            <w:tcW w:w="1195" w:type="dxa"/>
            <w:shd w:val="clear" w:color="auto" w:fill="auto"/>
            <w:vAlign w:val="center"/>
          </w:tcPr>
          <w:p w14:paraId="7441C2DC">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2"/>
                <w:sz w:val="18"/>
                <w:szCs w:val="18"/>
                <w:lang w:val="en-US" w:eastAsia="zh-CN" w:bidi="ar-SA"/>
              </w:rPr>
            </w:pPr>
            <w:r>
              <w:rPr>
                <w:rFonts w:hint="eastAsia" w:ascii="仿宋" w:hAnsi="仿宋" w:eastAsia="仿宋" w:cs="仿宋"/>
                <w:sz w:val="18"/>
                <w:szCs w:val="18"/>
              </w:rPr>
              <w:t>3.</w:t>
            </w:r>
            <w:r>
              <w:rPr>
                <w:rFonts w:hint="eastAsia" w:ascii="仿宋" w:hAnsi="仿宋" w:eastAsia="仿宋" w:cs="仿宋"/>
                <w:sz w:val="18"/>
                <w:szCs w:val="18"/>
                <w:lang w:val="en-US" w:eastAsia="zh-CN"/>
              </w:rPr>
              <w:t>1</w:t>
            </w:r>
          </w:p>
        </w:tc>
        <w:tc>
          <w:tcPr>
            <w:tcW w:w="1461" w:type="dxa"/>
            <w:shd w:val="clear" w:color="auto" w:fill="auto"/>
            <w:vAlign w:val="center"/>
          </w:tcPr>
          <w:p w14:paraId="77FCAC8C">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3"/>
                <w:kern w:val="0"/>
                <w:sz w:val="18"/>
                <w:szCs w:val="18"/>
                <w:lang w:val="en-US" w:eastAsia="zh-CN" w:bidi="ar-SA"/>
              </w:rPr>
            </w:pPr>
            <w:r>
              <w:rPr>
                <w:rFonts w:hint="eastAsia" w:ascii="仿宋" w:hAnsi="仿宋" w:eastAsia="仿宋" w:cs="仿宋"/>
                <w:sz w:val="18"/>
                <w:szCs w:val="18"/>
              </w:rPr>
              <w:t>河南星安智能科技有限公司</w:t>
            </w:r>
          </w:p>
        </w:tc>
        <w:tc>
          <w:tcPr>
            <w:tcW w:w="786" w:type="dxa"/>
            <w:vAlign w:val="center"/>
          </w:tcPr>
          <w:p w14:paraId="6B13E621">
            <w:pPr>
              <w:spacing w:line="360" w:lineRule="auto"/>
              <w:jc w:val="center"/>
              <w:rPr>
                <w:rFonts w:ascii="仿宋" w:hAnsi="仿宋" w:eastAsia="仿宋" w:cs="仿宋"/>
                <w:szCs w:val="21"/>
              </w:rPr>
            </w:pPr>
          </w:p>
        </w:tc>
      </w:tr>
      <w:tr w14:paraId="792D1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616A30D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2</w:t>
            </w:r>
          </w:p>
        </w:tc>
        <w:tc>
          <w:tcPr>
            <w:tcW w:w="1974" w:type="dxa"/>
            <w:vAlign w:val="center"/>
          </w:tcPr>
          <w:p w14:paraId="41E10A7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一种ZYTO体系复合陶瓷材料及其制备方法</w:t>
            </w:r>
          </w:p>
        </w:tc>
        <w:tc>
          <w:tcPr>
            <w:tcW w:w="3529" w:type="dxa"/>
            <w:vAlign w:val="center"/>
          </w:tcPr>
          <w:p w14:paraId="715B46F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本发明公开了一种ZYTO体系复合陶瓷材料及其制备方法，精确地称量出ZrO2、Y2O3、Ta2O5、Er2O3、TiO2、Nb2O5六种粉末的量按照化学计量比进行配粉得到物料粉末，球磨、烘干后压成圆柱状，置于高温炉中以升温速率10℃/min升温至1000℃，随后以3℃/min的速度升温至1500℃，再以2℃/min的速度升温至1600℃保温20h后，冷却至室温，所得试样再次升温至1400℃，保温2h，得ZYTO体系复合陶瓷材料。本发明通过固相反应法制备的ZYTO体系复合陶瓷材料不仅能够在1600℃下长时间烧结，还拥有优异的力学性能和较低的热导率，制备方法成本低。</w:t>
            </w:r>
          </w:p>
        </w:tc>
        <w:tc>
          <w:tcPr>
            <w:tcW w:w="1755" w:type="dxa"/>
            <w:vAlign w:val="center"/>
          </w:tcPr>
          <w:p w14:paraId="55BDE2A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陈宇慧；孙家祥；张百强；姜鹏洋；宋俊；张若琳；王才东</w:t>
            </w:r>
          </w:p>
        </w:tc>
        <w:tc>
          <w:tcPr>
            <w:tcW w:w="1386" w:type="dxa"/>
            <w:vAlign w:val="center"/>
          </w:tcPr>
          <w:p w14:paraId="70ADA6D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z w:val="18"/>
                <w:szCs w:val="18"/>
                <w:lang w:eastAsia="zh-CN"/>
              </w:rPr>
              <w:t>长期</w:t>
            </w:r>
            <w:r>
              <w:rPr>
                <w:rFonts w:hint="eastAsia" w:ascii="仿宋" w:hAnsi="仿宋" w:eastAsia="仿宋" w:cs="仿宋"/>
                <w:sz w:val="18"/>
                <w:szCs w:val="18"/>
              </w:rPr>
              <w:t>使用权（</w:t>
            </w:r>
            <w:r>
              <w:rPr>
                <w:rFonts w:hint="eastAsia" w:ascii="仿宋" w:hAnsi="仿宋" w:eastAsia="仿宋" w:cs="仿宋"/>
                <w:sz w:val="18"/>
                <w:szCs w:val="18"/>
                <w:lang w:val="en-US" w:eastAsia="zh-CN"/>
              </w:rPr>
              <w:t>10</w:t>
            </w:r>
            <w:r>
              <w:rPr>
                <w:rFonts w:hint="eastAsia" w:ascii="仿宋" w:hAnsi="仿宋" w:eastAsia="仿宋" w:cs="仿宋"/>
                <w:sz w:val="18"/>
                <w:szCs w:val="18"/>
              </w:rPr>
              <w:t>年）</w:t>
            </w:r>
          </w:p>
        </w:tc>
        <w:tc>
          <w:tcPr>
            <w:tcW w:w="1207" w:type="dxa"/>
            <w:vAlign w:val="center"/>
          </w:tcPr>
          <w:p w14:paraId="50E6757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z w:val="18"/>
                <w:szCs w:val="18"/>
              </w:rPr>
              <w:t>技术许可</w:t>
            </w:r>
          </w:p>
        </w:tc>
        <w:tc>
          <w:tcPr>
            <w:tcW w:w="1195" w:type="dxa"/>
            <w:vAlign w:val="center"/>
          </w:tcPr>
          <w:p w14:paraId="3434939F">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z w:val="18"/>
                <w:szCs w:val="18"/>
              </w:rPr>
              <w:t>4</w:t>
            </w:r>
          </w:p>
        </w:tc>
        <w:tc>
          <w:tcPr>
            <w:tcW w:w="1461" w:type="dxa"/>
            <w:vAlign w:val="center"/>
          </w:tcPr>
          <w:p w14:paraId="6010023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z w:val="18"/>
                <w:szCs w:val="18"/>
              </w:rPr>
              <w:t>新乡碳中能源设备有限公司</w:t>
            </w:r>
          </w:p>
        </w:tc>
        <w:tc>
          <w:tcPr>
            <w:tcW w:w="786" w:type="dxa"/>
            <w:vAlign w:val="center"/>
          </w:tcPr>
          <w:p w14:paraId="6132E94D">
            <w:pPr>
              <w:spacing w:line="360" w:lineRule="auto"/>
              <w:jc w:val="center"/>
              <w:rPr>
                <w:rFonts w:ascii="仿宋" w:hAnsi="仿宋" w:eastAsia="仿宋" w:cs="仿宋"/>
                <w:szCs w:val="21"/>
              </w:rPr>
            </w:pPr>
          </w:p>
        </w:tc>
      </w:tr>
      <w:tr w14:paraId="1C639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17B30E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3</w:t>
            </w:r>
          </w:p>
        </w:tc>
        <w:tc>
          <w:tcPr>
            <w:tcW w:w="1974" w:type="dxa"/>
            <w:vAlign w:val="center"/>
          </w:tcPr>
          <w:p w14:paraId="7E10F918">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一种多功能燃气报警及自断装置</w:t>
            </w:r>
          </w:p>
        </w:tc>
        <w:tc>
          <w:tcPr>
            <w:tcW w:w="3529" w:type="dxa"/>
            <w:vAlign w:val="center"/>
          </w:tcPr>
          <w:p w14:paraId="6C30F75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本发明提出了一种新型多功能燃气报警及自断装置，包括燃气报警装置、烟雾（温度）报警装置、燃气自断装置。燃气报警装置安装在煤气台上侧，烟雾（温度）报警装置安装在燃气管道上部，燃气自断装置与燃气管道相连；在无危险情况下，自断装置内橡胶直杆通过弹簧拉力保持向上状态，使阀门处于开启状态，当发生火灾、燃气泄漏等危险情况时燃气报警装置检测环境燃气变化或烟雾（温度）报警装置检测环境烟雾（温度）变化并通过警报灯及蜂鸣装置进行发出警报信号，同时为燃气自断装置提供危险信号及电流，燃气自断装置电磁体产生磁性吸附橡胶直杆顶部设置的特制铁片，克服弹簧阻力使橡胶直杆下部连接的密封橡胶球快速下移并关闭阀门，实现检测燃气、烟雾、温度异常及切断燃气的功能，让人们的生活环境更安全。</w:t>
            </w:r>
          </w:p>
        </w:tc>
        <w:tc>
          <w:tcPr>
            <w:tcW w:w="1755" w:type="dxa"/>
            <w:vAlign w:val="center"/>
          </w:tcPr>
          <w:p w14:paraId="2D8EAF7C">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朱世权，陈恒，齐天，王梦源，程传晓，吴学红，张业强，彭义森，王艺瓶，宁江梅，吕若涵，林志浩</w:t>
            </w:r>
          </w:p>
        </w:tc>
        <w:tc>
          <w:tcPr>
            <w:tcW w:w="1386" w:type="dxa"/>
            <w:vAlign w:val="center"/>
          </w:tcPr>
          <w:p w14:paraId="55EEF5E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z w:val="18"/>
                <w:szCs w:val="18"/>
                <w:lang w:eastAsia="zh-CN"/>
              </w:rPr>
              <w:t>长期</w:t>
            </w:r>
            <w:r>
              <w:rPr>
                <w:rFonts w:hint="eastAsia" w:ascii="仿宋" w:hAnsi="仿宋" w:eastAsia="仿宋" w:cs="仿宋"/>
                <w:sz w:val="18"/>
                <w:szCs w:val="18"/>
              </w:rPr>
              <w:t>使用权（</w:t>
            </w:r>
            <w:r>
              <w:rPr>
                <w:rFonts w:hint="eastAsia" w:ascii="仿宋" w:hAnsi="仿宋" w:eastAsia="仿宋" w:cs="仿宋"/>
                <w:sz w:val="18"/>
                <w:szCs w:val="18"/>
                <w:lang w:val="en-US" w:eastAsia="zh-CN"/>
              </w:rPr>
              <w:t>10</w:t>
            </w:r>
            <w:r>
              <w:rPr>
                <w:rFonts w:hint="eastAsia" w:ascii="仿宋" w:hAnsi="仿宋" w:eastAsia="仿宋" w:cs="仿宋"/>
                <w:sz w:val="18"/>
                <w:szCs w:val="18"/>
              </w:rPr>
              <w:t>年）</w:t>
            </w:r>
          </w:p>
        </w:tc>
        <w:tc>
          <w:tcPr>
            <w:tcW w:w="1207" w:type="dxa"/>
            <w:vAlign w:val="center"/>
          </w:tcPr>
          <w:p w14:paraId="4B5C47D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技术许可</w:t>
            </w:r>
          </w:p>
        </w:tc>
        <w:tc>
          <w:tcPr>
            <w:tcW w:w="1195" w:type="dxa"/>
            <w:vAlign w:val="center"/>
          </w:tcPr>
          <w:p w14:paraId="2E3C709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3.3</w:t>
            </w:r>
          </w:p>
        </w:tc>
        <w:tc>
          <w:tcPr>
            <w:tcW w:w="1461" w:type="dxa"/>
            <w:vAlign w:val="center"/>
          </w:tcPr>
          <w:p w14:paraId="5FB87C9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安徽道海机械科技有限公司</w:t>
            </w:r>
          </w:p>
        </w:tc>
        <w:tc>
          <w:tcPr>
            <w:tcW w:w="786" w:type="dxa"/>
            <w:vAlign w:val="center"/>
          </w:tcPr>
          <w:p w14:paraId="439092FC">
            <w:pPr>
              <w:spacing w:line="360" w:lineRule="auto"/>
              <w:jc w:val="center"/>
              <w:rPr>
                <w:rFonts w:ascii="仿宋" w:hAnsi="仿宋" w:eastAsia="仿宋" w:cs="仿宋"/>
                <w:szCs w:val="21"/>
              </w:rPr>
            </w:pPr>
          </w:p>
        </w:tc>
      </w:tr>
      <w:tr w14:paraId="5F9E8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C091E11">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4</w:t>
            </w:r>
          </w:p>
        </w:tc>
        <w:tc>
          <w:tcPr>
            <w:tcW w:w="1974" w:type="dxa"/>
            <w:shd w:val="clear" w:color="auto" w:fill="auto"/>
            <w:vAlign w:val="center"/>
          </w:tcPr>
          <w:p w14:paraId="7007851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用于电动汽车快速充电桩的冷却板散热系统</w:t>
            </w:r>
          </w:p>
        </w:tc>
        <w:tc>
          <w:tcPr>
            <w:tcW w:w="3529" w:type="dxa"/>
            <w:shd w:val="clear" w:color="auto" w:fill="auto"/>
            <w:vAlign w:val="center"/>
          </w:tcPr>
          <w:p w14:paraId="7878868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本发明提出了一种用于电动汽车快速充电桩的冷却板散热系统，要解决的技术问题是传统的风冷方式存在成本高、占用充电桩内部空间大、噪音大、使用寿命短、冷却效果差。本发明包括充电模块壳体、风冷散热器、载冷剂冷却器、主管，充电模块壳体内部设有电路板和冷却板，冷却板外部与充电模块壳体之间充有导热油，冷却板内部充有载冷剂，主管上设有并联连接的支管I和支管II，其中支管I穿过风冷散热器、支管II过载冷剂冷却器。采用上述技术方案后的本发明采用冷却板的方式给充电模块散热，防止导热油的流动冲击电路板的电器元件；对载冷剂散热时采用风冷散热器和载冷剂冷却器配合使用，达到资源的最佳整合利用。</w:t>
            </w:r>
          </w:p>
        </w:tc>
        <w:tc>
          <w:tcPr>
            <w:tcW w:w="1755" w:type="dxa"/>
            <w:shd w:val="clear" w:color="auto" w:fill="auto"/>
            <w:vAlign w:val="center"/>
          </w:tcPr>
          <w:p w14:paraId="3C05970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张业强，吴学红，何永宁，王燕令，刘献飞，牛聪</w:t>
            </w:r>
          </w:p>
        </w:tc>
        <w:tc>
          <w:tcPr>
            <w:tcW w:w="1386" w:type="dxa"/>
            <w:shd w:val="clear" w:color="auto" w:fill="auto"/>
            <w:vAlign w:val="center"/>
          </w:tcPr>
          <w:p w14:paraId="3A0E988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z w:val="18"/>
                <w:szCs w:val="18"/>
                <w:lang w:eastAsia="zh-CN"/>
              </w:rPr>
              <w:t>长期</w:t>
            </w:r>
            <w:r>
              <w:rPr>
                <w:rFonts w:hint="eastAsia" w:ascii="仿宋" w:hAnsi="仿宋" w:eastAsia="仿宋" w:cs="仿宋"/>
                <w:sz w:val="18"/>
                <w:szCs w:val="18"/>
              </w:rPr>
              <w:t>使用权（</w:t>
            </w:r>
            <w:r>
              <w:rPr>
                <w:rFonts w:hint="eastAsia" w:ascii="仿宋" w:hAnsi="仿宋" w:eastAsia="仿宋" w:cs="仿宋"/>
                <w:sz w:val="18"/>
                <w:szCs w:val="18"/>
                <w:lang w:val="en-US" w:eastAsia="zh-CN"/>
              </w:rPr>
              <w:t>10</w:t>
            </w:r>
            <w:r>
              <w:rPr>
                <w:rFonts w:hint="eastAsia" w:ascii="仿宋" w:hAnsi="仿宋" w:eastAsia="仿宋" w:cs="仿宋"/>
                <w:sz w:val="18"/>
                <w:szCs w:val="18"/>
              </w:rPr>
              <w:t>年）</w:t>
            </w:r>
          </w:p>
        </w:tc>
        <w:tc>
          <w:tcPr>
            <w:tcW w:w="1207" w:type="dxa"/>
            <w:shd w:val="clear" w:color="auto" w:fill="auto"/>
            <w:vAlign w:val="center"/>
          </w:tcPr>
          <w:p w14:paraId="43BD801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技术许可</w:t>
            </w:r>
          </w:p>
        </w:tc>
        <w:tc>
          <w:tcPr>
            <w:tcW w:w="1195" w:type="dxa"/>
            <w:shd w:val="clear" w:color="auto" w:fill="auto"/>
            <w:vAlign w:val="center"/>
          </w:tcPr>
          <w:p w14:paraId="56AF466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3.3</w:t>
            </w:r>
          </w:p>
        </w:tc>
        <w:tc>
          <w:tcPr>
            <w:tcW w:w="1461" w:type="dxa"/>
            <w:shd w:val="clear" w:color="auto" w:fill="auto"/>
            <w:vAlign w:val="center"/>
          </w:tcPr>
          <w:p w14:paraId="5B1BA11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rPr>
            </w:pPr>
            <w:r>
              <w:rPr>
                <w:rFonts w:hint="eastAsia" w:ascii="仿宋" w:hAnsi="仿宋" w:eastAsia="仿宋" w:cs="仿宋"/>
                <w:snapToGrid w:val="0"/>
                <w:color w:val="000000"/>
                <w:spacing w:val="-4"/>
                <w:kern w:val="0"/>
                <w:sz w:val="18"/>
                <w:szCs w:val="18"/>
              </w:rPr>
              <w:t>郑州智可制冷设备有限公司</w:t>
            </w:r>
          </w:p>
        </w:tc>
        <w:tc>
          <w:tcPr>
            <w:tcW w:w="786" w:type="dxa"/>
            <w:vAlign w:val="center"/>
          </w:tcPr>
          <w:p w14:paraId="7B6E9980">
            <w:pPr>
              <w:spacing w:line="360" w:lineRule="auto"/>
              <w:jc w:val="center"/>
              <w:rPr>
                <w:rFonts w:ascii="仿宋" w:hAnsi="仿宋" w:eastAsia="仿宋" w:cs="仿宋"/>
                <w:szCs w:val="21"/>
              </w:rPr>
            </w:pPr>
          </w:p>
        </w:tc>
      </w:tr>
      <w:tr w14:paraId="75925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A9CEB78">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5</w:t>
            </w:r>
          </w:p>
        </w:tc>
        <w:tc>
          <w:tcPr>
            <w:tcW w:w="1974" w:type="dxa"/>
            <w:shd w:val="clear" w:color="auto" w:fill="auto"/>
            <w:vAlign w:val="center"/>
          </w:tcPr>
          <w:p w14:paraId="19874CE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一种高效沸腾强化换热管及其制作方法</w:t>
            </w:r>
          </w:p>
        </w:tc>
        <w:tc>
          <w:tcPr>
            <w:tcW w:w="3529" w:type="dxa"/>
            <w:shd w:val="clear" w:color="auto" w:fill="auto"/>
            <w:vAlign w:val="center"/>
          </w:tcPr>
          <w:p w14:paraId="6FF1DAD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本发明公开了属于换热器技术领域的一种高效沸腾强化换热管及其制作方法。该结构由外部的基管和管内壁烧结层组成,管内壁烧结层为一层非均质超亲水铜粉颗粒层,其沿基管截面呈“上壁面颗粒细而密,下壁面颗粒粗而疏,侧壁面均匀变化”的空间分布,可有效实现管底部液体反重力迁移,改善管内流型。基管内壁烧结层可以提供大量稳定的汽化核心,同时内部微小的孔隙能够提供较大的毛细力促进液体补充,改变汽泡动力学行为,缩短汽泡脱离周期,调控基管内相分布,有效强化沸腾换热。本发明可以应用在中低温余热发电系统、空调蒸发器、槽式太阳能集热管及锅炉水冷壁中,具有广泛的应用价值和社会价值。</w:t>
            </w:r>
          </w:p>
        </w:tc>
        <w:tc>
          <w:tcPr>
            <w:tcW w:w="1755" w:type="dxa"/>
            <w:shd w:val="clear" w:color="auto" w:fill="auto"/>
            <w:vAlign w:val="center"/>
          </w:tcPr>
          <w:p w14:paraId="70ACADF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曹泷; 杨辉; 朱世权; 吴学红; 樊庆旭</w:t>
            </w:r>
          </w:p>
        </w:tc>
        <w:tc>
          <w:tcPr>
            <w:tcW w:w="1386" w:type="dxa"/>
            <w:shd w:val="clear" w:color="auto" w:fill="auto"/>
            <w:vAlign w:val="center"/>
          </w:tcPr>
          <w:p w14:paraId="74B4E8A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auto"/>
                <w:spacing w:val="-4"/>
                <w:kern w:val="0"/>
                <w:sz w:val="18"/>
                <w:szCs w:val="18"/>
                <w:lang w:val="en-US" w:eastAsia="zh-CN" w:bidi="ar-SA"/>
              </w:rPr>
              <w:t>所有权（学校10%，成果完成团队90%）</w:t>
            </w:r>
          </w:p>
        </w:tc>
        <w:tc>
          <w:tcPr>
            <w:tcW w:w="1207" w:type="dxa"/>
            <w:shd w:val="clear" w:color="auto" w:fill="auto"/>
            <w:vAlign w:val="center"/>
          </w:tcPr>
          <w:p w14:paraId="0B6C7DB6">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rPr>
              <w:t>技术转让</w:t>
            </w:r>
          </w:p>
        </w:tc>
        <w:tc>
          <w:tcPr>
            <w:tcW w:w="1195" w:type="dxa"/>
            <w:shd w:val="clear" w:color="auto" w:fill="auto"/>
            <w:vAlign w:val="center"/>
          </w:tcPr>
          <w:p w14:paraId="4588EC8C">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rPr>
              <w:t>3.2</w:t>
            </w:r>
          </w:p>
        </w:tc>
        <w:tc>
          <w:tcPr>
            <w:tcW w:w="1461" w:type="dxa"/>
            <w:shd w:val="clear" w:color="auto" w:fill="auto"/>
            <w:vAlign w:val="center"/>
          </w:tcPr>
          <w:p w14:paraId="3DA5D4D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rPr>
              <w:t>东莞市鸿艺电子有限公司</w:t>
            </w:r>
          </w:p>
        </w:tc>
        <w:tc>
          <w:tcPr>
            <w:tcW w:w="786" w:type="dxa"/>
            <w:shd w:val="clear" w:color="auto" w:fill="auto"/>
            <w:vAlign w:val="center"/>
          </w:tcPr>
          <w:p w14:paraId="2480D19F">
            <w:pPr>
              <w:spacing w:line="360" w:lineRule="auto"/>
              <w:jc w:val="center"/>
              <w:rPr>
                <w:rFonts w:ascii="仿宋" w:hAnsi="仿宋" w:eastAsia="仿宋" w:cs="仿宋"/>
                <w:kern w:val="2"/>
                <w:sz w:val="21"/>
                <w:szCs w:val="21"/>
                <w:lang w:val="en-US" w:eastAsia="zh-CN" w:bidi="ar-SA"/>
              </w:rPr>
            </w:pPr>
          </w:p>
        </w:tc>
      </w:tr>
      <w:tr w14:paraId="44F5B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49431A8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default" w:ascii="仿宋" w:hAnsi="仿宋" w:eastAsia="仿宋" w:cs="仿宋"/>
                <w:color w:val="333333"/>
                <w:kern w:val="0"/>
                <w:sz w:val="18"/>
                <w:szCs w:val="18"/>
                <w:shd w:val="clear" w:color="auto" w:fill="FFFFFF"/>
                <w:lang w:val="en-US" w:eastAsia="zh-CN"/>
              </w:rPr>
            </w:pPr>
            <w:r>
              <w:rPr>
                <w:rFonts w:hint="eastAsia" w:ascii="仿宋" w:hAnsi="仿宋" w:eastAsia="仿宋" w:cs="仿宋"/>
                <w:color w:val="333333"/>
                <w:kern w:val="0"/>
                <w:sz w:val="18"/>
                <w:szCs w:val="18"/>
                <w:shd w:val="clear" w:color="auto" w:fill="FFFFFF"/>
                <w:lang w:val="en-US" w:eastAsia="zh-CN"/>
              </w:rPr>
              <w:t>6</w:t>
            </w:r>
          </w:p>
        </w:tc>
        <w:tc>
          <w:tcPr>
            <w:tcW w:w="1974" w:type="dxa"/>
            <w:shd w:val="clear" w:color="auto" w:fill="auto"/>
            <w:vAlign w:val="center"/>
          </w:tcPr>
          <w:p w14:paraId="3AAC8A58">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尺寸参数及加工参数的优化方法及该方法制造的轴桥</w:t>
            </w:r>
          </w:p>
        </w:tc>
        <w:tc>
          <w:tcPr>
            <w:tcW w:w="3529" w:type="dxa"/>
            <w:shd w:val="clear" w:color="auto" w:fill="auto"/>
            <w:vAlign w:val="center"/>
          </w:tcPr>
          <w:p w14:paraId="49A33666">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本发明构造轴桥设计制造一体优化模型的目标函数以及设计参数的约束函数，通过序列二次规划对轴桥尺寸参数及轴桥加工参数进行优化，求解获得最优的轴桥尺寸参数及轴桥加工参数，能够在保证性能目标的前提下实现成本最优。</w:t>
            </w:r>
          </w:p>
        </w:tc>
        <w:tc>
          <w:tcPr>
            <w:tcW w:w="1755" w:type="dxa"/>
            <w:shd w:val="clear" w:color="auto" w:fill="auto"/>
            <w:vAlign w:val="center"/>
          </w:tcPr>
          <w:p w14:paraId="0DA49C27">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李晓科;马军;张亚琳;尹春洋;朱恒;明五一;曹阳;何文斌;刘琨;都金光;段留洋</w:t>
            </w:r>
          </w:p>
        </w:tc>
        <w:tc>
          <w:tcPr>
            <w:tcW w:w="1386" w:type="dxa"/>
            <w:shd w:val="clear" w:color="auto" w:fill="auto"/>
            <w:vAlign w:val="center"/>
          </w:tcPr>
          <w:p w14:paraId="3C1F9B7D">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长期使用权（10年）</w:t>
            </w:r>
          </w:p>
        </w:tc>
        <w:tc>
          <w:tcPr>
            <w:tcW w:w="1207" w:type="dxa"/>
            <w:shd w:val="clear" w:color="auto" w:fill="auto"/>
            <w:vAlign w:val="center"/>
          </w:tcPr>
          <w:p w14:paraId="5F4ACFEA">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2"/>
                <w:sz w:val="18"/>
                <w:szCs w:val="18"/>
                <w:lang w:val="en-US" w:eastAsia="zh-CN" w:bidi="ar-SA"/>
              </w:rPr>
            </w:pPr>
            <w:r>
              <w:rPr>
                <w:rFonts w:hint="eastAsia" w:ascii="仿宋" w:hAnsi="仿宋" w:eastAsia="仿宋" w:cs="仿宋"/>
                <w:sz w:val="18"/>
                <w:szCs w:val="18"/>
              </w:rPr>
              <w:t>技术许可</w:t>
            </w:r>
          </w:p>
        </w:tc>
        <w:tc>
          <w:tcPr>
            <w:tcW w:w="1195" w:type="dxa"/>
            <w:shd w:val="clear" w:color="auto" w:fill="auto"/>
            <w:vAlign w:val="center"/>
          </w:tcPr>
          <w:p w14:paraId="18DA8226">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3.2万元</w:t>
            </w:r>
          </w:p>
        </w:tc>
        <w:tc>
          <w:tcPr>
            <w:tcW w:w="1461" w:type="dxa"/>
            <w:shd w:val="clear" w:color="auto" w:fill="auto"/>
            <w:vAlign w:val="center"/>
          </w:tcPr>
          <w:p w14:paraId="4750996F">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上海潜形机械有限公司</w:t>
            </w:r>
          </w:p>
        </w:tc>
        <w:tc>
          <w:tcPr>
            <w:tcW w:w="786" w:type="dxa"/>
            <w:shd w:val="clear" w:color="auto" w:fill="auto"/>
            <w:vAlign w:val="center"/>
          </w:tcPr>
          <w:p w14:paraId="7ADDDFB1">
            <w:pPr>
              <w:widowControl/>
              <w:jc w:val="center"/>
              <w:textAlignment w:val="center"/>
              <w:rPr>
                <w:rFonts w:ascii="仿宋" w:hAnsi="仿宋" w:eastAsia="仿宋" w:cs="仿宋"/>
                <w:kern w:val="0"/>
                <w:sz w:val="22"/>
                <w:szCs w:val="22"/>
                <w:lang w:val="en-US" w:eastAsia="zh-CN" w:bidi="ar-SA"/>
              </w:rPr>
            </w:pPr>
            <w:r>
              <w:rPr>
                <w:rFonts w:hint="eastAsia" w:ascii="仿宋" w:hAnsi="仿宋" w:eastAsia="仿宋" w:cs="仿宋"/>
                <w:kern w:val="0"/>
                <w:sz w:val="22"/>
                <w:szCs w:val="22"/>
              </w:rPr>
              <w:t>发明</w:t>
            </w:r>
          </w:p>
        </w:tc>
      </w:tr>
      <w:tr w14:paraId="47EA7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16516F62">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default" w:ascii="仿宋" w:hAnsi="仿宋" w:eastAsia="仿宋" w:cs="仿宋"/>
                <w:color w:val="333333"/>
                <w:kern w:val="0"/>
                <w:sz w:val="18"/>
                <w:szCs w:val="18"/>
                <w:shd w:val="clear" w:color="auto" w:fill="FFFFFF"/>
                <w:lang w:val="en-US" w:eastAsia="zh-CN"/>
              </w:rPr>
            </w:pPr>
            <w:r>
              <w:rPr>
                <w:rFonts w:hint="eastAsia" w:ascii="仿宋" w:hAnsi="仿宋" w:eastAsia="仿宋" w:cs="仿宋"/>
                <w:color w:val="333333"/>
                <w:kern w:val="0"/>
                <w:sz w:val="18"/>
                <w:szCs w:val="18"/>
                <w:shd w:val="clear" w:color="auto" w:fill="FFFFFF"/>
                <w:lang w:val="en-US" w:eastAsia="zh-CN"/>
              </w:rPr>
              <w:t>7</w:t>
            </w:r>
          </w:p>
        </w:tc>
        <w:tc>
          <w:tcPr>
            <w:tcW w:w="1974" w:type="dxa"/>
            <w:shd w:val="clear" w:color="auto" w:fill="auto"/>
            <w:vAlign w:val="center"/>
          </w:tcPr>
          <w:p w14:paraId="22DF97D0">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一种外场智能辅助的绿色再制造加工方法</w:t>
            </w:r>
          </w:p>
        </w:tc>
        <w:tc>
          <w:tcPr>
            <w:tcW w:w="3529" w:type="dxa"/>
            <w:shd w:val="clear" w:color="auto" w:fill="auto"/>
            <w:vAlign w:val="center"/>
          </w:tcPr>
          <w:p w14:paraId="6BA636FE">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本发明设计一种磁场调控超音速等离子体热喷涂装置,通过调整等离子体通过一级和二级磁场调控机构的羽形,获取等离子体中飞行粒子参数,并评估磁场调控超音速等离子体热喷涂羽形的质量,使超音速等离子体热喷涂工作处于理想的状态。</w:t>
            </w:r>
          </w:p>
        </w:tc>
        <w:tc>
          <w:tcPr>
            <w:tcW w:w="1755" w:type="dxa"/>
            <w:shd w:val="clear" w:color="auto" w:fill="auto"/>
            <w:vAlign w:val="center"/>
          </w:tcPr>
          <w:p w14:paraId="3FE2BC5A">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马军;张圣飞;段留洋;江智文;张臻;李晓科;曹阳;刘琨;何文斌;都金光;徐颖杰;明五一</w:t>
            </w:r>
          </w:p>
        </w:tc>
        <w:tc>
          <w:tcPr>
            <w:tcW w:w="1386" w:type="dxa"/>
            <w:shd w:val="clear" w:color="auto" w:fill="auto"/>
            <w:vAlign w:val="center"/>
          </w:tcPr>
          <w:p w14:paraId="119D3D60">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长期使用权（10年）、</w:t>
            </w:r>
          </w:p>
        </w:tc>
        <w:tc>
          <w:tcPr>
            <w:tcW w:w="1207" w:type="dxa"/>
            <w:shd w:val="clear" w:color="auto" w:fill="auto"/>
            <w:vAlign w:val="center"/>
          </w:tcPr>
          <w:p w14:paraId="5B4641E6">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2"/>
                <w:sz w:val="18"/>
                <w:szCs w:val="18"/>
                <w:lang w:val="en-US" w:eastAsia="zh-CN" w:bidi="ar-SA"/>
              </w:rPr>
            </w:pPr>
            <w:r>
              <w:rPr>
                <w:rFonts w:hint="eastAsia" w:ascii="仿宋" w:hAnsi="仿宋" w:eastAsia="仿宋" w:cs="仿宋"/>
                <w:sz w:val="18"/>
                <w:szCs w:val="18"/>
              </w:rPr>
              <w:t>技术许可</w:t>
            </w:r>
          </w:p>
        </w:tc>
        <w:tc>
          <w:tcPr>
            <w:tcW w:w="1195" w:type="dxa"/>
            <w:shd w:val="clear" w:color="auto" w:fill="auto"/>
            <w:vAlign w:val="center"/>
          </w:tcPr>
          <w:p w14:paraId="60E26F50">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3.2万元</w:t>
            </w:r>
          </w:p>
        </w:tc>
        <w:tc>
          <w:tcPr>
            <w:tcW w:w="1461" w:type="dxa"/>
            <w:shd w:val="clear" w:color="auto" w:fill="auto"/>
            <w:vAlign w:val="center"/>
          </w:tcPr>
          <w:p w14:paraId="0C94A2A9">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0"/>
                <w:sz w:val="18"/>
                <w:szCs w:val="18"/>
                <w:lang w:val="en-US" w:eastAsia="zh-CN" w:bidi="ar-SA"/>
              </w:rPr>
            </w:pPr>
            <w:r>
              <w:rPr>
                <w:rFonts w:hint="eastAsia" w:ascii="仿宋" w:hAnsi="仿宋" w:eastAsia="仿宋" w:cs="仿宋"/>
                <w:kern w:val="0"/>
                <w:sz w:val="18"/>
                <w:szCs w:val="18"/>
              </w:rPr>
              <w:t>上海潜形机械有限公司</w:t>
            </w:r>
          </w:p>
        </w:tc>
        <w:tc>
          <w:tcPr>
            <w:tcW w:w="786" w:type="dxa"/>
            <w:shd w:val="clear" w:color="auto" w:fill="auto"/>
            <w:vAlign w:val="center"/>
          </w:tcPr>
          <w:p w14:paraId="65EDD0E6">
            <w:pPr>
              <w:spacing w:line="360" w:lineRule="auto"/>
              <w:jc w:val="center"/>
              <w:rPr>
                <w:rFonts w:ascii="仿宋" w:hAnsi="仿宋" w:eastAsia="仿宋" w:cs="仿宋"/>
                <w:kern w:val="2"/>
                <w:sz w:val="21"/>
                <w:szCs w:val="21"/>
                <w:lang w:val="en-US" w:eastAsia="zh-CN" w:bidi="ar-SA"/>
              </w:rPr>
            </w:pPr>
          </w:p>
        </w:tc>
      </w:tr>
      <w:tr w14:paraId="562EB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15F048E8">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color w:val="333333"/>
                <w:kern w:val="0"/>
                <w:sz w:val="18"/>
                <w:szCs w:val="18"/>
                <w:shd w:val="clear" w:color="auto" w:fill="FFFFFF"/>
                <w:lang w:val="en-US" w:eastAsia="zh-CN"/>
              </w:rPr>
            </w:pPr>
            <w:bookmarkStart w:id="0" w:name="_GoBack"/>
            <w:bookmarkEnd w:id="0"/>
            <w:r>
              <w:rPr>
                <w:rFonts w:hint="eastAsia" w:ascii="仿宋" w:hAnsi="仿宋" w:eastAsia="仿宋" w:cs="仿宋"/>
                <w:color w:val="333333"/>
                <w:kern w:val="0"/>
                <w:sz w:val="18"/>
                <w:szCs w:val="18"/>
                <w:shd w:val="clear" w:color="auto" w:fill="FFFFFF"/>
                <w:lang w:val="en-US" w:eastAsia="zh-CN"/>
              </w:rPr>
              <w:t>8</w:t>
            </w:r>
          </w:p>
        </w:tc>
        <w:tc>
          <w:tcPr>
            <w:tcW w:w="1974" w:type="dxa"/>
            <w:shd w:val="clear" w:color="auto" w:fill="auto"/>
            <w:vAlign w:val="center"/>
          </w:tcPr>
          <w:p w14:paraId="635239C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z w:val="18"/>
                <w:szCs w:val="18"/>
                <w:lang w:eastAsia="zh-CN"/>
              </w:rPr>
              <w:t>一种</w:t>
            </w:r>
            <w:r>
              <w:rPr>
                <w:rFonts w:hint="eastAsia" w:ascii="仿宋" w:hAnsi="仿宋" w:eastAsia="仿宋" w:cs="仿宋"/>
                <w:sz w:val="18"/>
                <w:szCs w:val="18"/>
                <w:lang w:val="en-US" w:eastAsia="zh-CN"/>
              </w:rPr>
              <w:t>同步辐射原位成像实验凝固装置</w:t>
            </w:r>
          </w:p>
        </w:tc>
        <w:tc>
          <w:tcPr>
            <w:tcW w:w="3529" w:type="dxa"/>
            <w:shd w:val="clear" w:color="auto" w:fill="auto"/>
            <w:vAlign w:val="center"/>
          </w:tcPr>
          <w:p w14:paraId="760C2A2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eastAsia="zh-CN"/>
              </w:rPr>
              <w:t>本发明公开了一种同步辐射原位成像实验凝固装置,包括加热炉,加热炉的侧壁上设有进光口和出光口,在加热炉内设有实验腔,进光口和出光口位于同一直线并均与实验腔垂直相通,且在进光口和出光口处均设有透光密封件；实验腔内设有调温组件、温度检测组件和样品夹持调节组件；样品设在样品夹持调节组件上,温度检测组件检测样品的温度并传输到温控上位机内,温控上位机显示温度并控制调温组件调节样品的温度,在实验腔底部设有进气口和出气口。本发明使得同步辐射原位观测合金围观组织演化过程成功率大幅提升</w:t>
            </w:r>
          </w:p>
        </w:tc>
        <w:tc>
          <w:tcPr>
            <w:tcW w:w="1755" w:type="dxa"/>
            <w:shd w:val="clear" w:color="auto" w:fill="auto"/>
            <w:vAlign w:val="center"/>
          </w:tcPr>
          <w:p w14:paraId="0EBFCA8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rPr>
              <w:t>王永彪，贾森森，刘新田，位明光，白代萍，肖志玲</w:t>
            </w:r>
          </w:p>
        </w:tc>
        <w:tc>
          <w:tcPr>
            <w:tcW w:w="1386" w:type="dxa"/>
            <w:shd w:val="clear" w:color="auto" w:fill="auto"/>
            <w:vAlign w:val="center"/>
          </w:tcPr>
          <w:p w14:paraId="33BE55F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长期使用权（10年）、所有权（学校10%，成果完成团队90%）</w:t>
            </w:r>
          </w:p>
        </w:tc>
        <w:tc>
          <w:tcPr>
            <w:tcW w:w="1207" w:type="dxa"/>
            <w:shd w:val="clear" w:color="auto" w:fill="auto"/>
            <w:vAlign w:val="center"/>
          </w:tcPr>
          <w:p w14:paraId="2DE299F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技术许可</w:t>
            </w:r>
          </w:p>
        </w:tc>
        <w:tc>
          <w:tcPr>
            <w:tcW w:w="1195" w:type="dxa"/>
            <w:shd w:val="clear" w:color="auto" w:fill="auto"/>
            <w:vAlign w:val="center"/>
          </w:tcPr>
          <w:p w14:paraId="7E8954F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3.</w:t>
            </w:r>
            <w:r>
              <w:rPr>
                <w:rFonts w:hint="eastAsia" w:ascii="仿宋" w:hAnsi="仿宋" w:eastAsia="仿宋" w:cs="仿宋"/>
                <w:snapToGrid w:val="0"/>
                <w:color w:val="000000"/>
                <w:spacing w:val="-4"/>
                <w:kern w:val="0"/>
                <w:sz w:val="18"/>
                <w:szCs w:val="18"/>
                <w:lang w:val="en-US" w:eastAsia="zh-CN"/>
              </w:rPr>
              <w:t>1</w:t>
            </w:r>
          </w:p>
        </w:tc>
        <w:tc>
          <w:tcPr>
            <w:tcW w:w="1461" w:type="dxa"/>
            <w:shd w:val="clear" w:color="auto" w:fill="auto"/>
            <w:vAlign w:val="center"/>
          </w:tcPr>
          <w:p w14:paraId="50DBE81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rPr>
              <w:t>深圳思劲信息技术</w:t>
            </w:r>
            <w:r>
              <w:rPr>
                <w:rFonts w:hint="eastAsia" w:ascii="仿宋" w:hAnsi="仿宋" w:eastAsia="仿宋" w:cs="仿宋"/>
                <w:snapToGrid w:val="0"/>
                <w:color w:val="000000"/>
                <w:spacing w:val="-4"/>
                <w:kern w:val="0"/>
                <w:sz w:val="18"/>
                <w:szCs w:val="18"/>
              </w:rPr>
              <w:t>有限公司</w:t>
            </w:r>
          </w:p>
        </w:tc>
        <w:tc>
          <w:tcPr>
            <w:tcW w:w="786" w:type="dxa"/>
            <w:shd w:val="clear" w:color="auto" w:fill="auto"/>
            <w:vAlign w:val="center"/>
          </w:tcPr>
          <w:p w14:paraId="4955FFF1">
            <w:pPr>
              <w:spacing w:line="360" w:lineRule="auto"/>
              <w:jc w:val="center"/>
              <w:rPr>
                <w:rFonts w:ascii="仿宋" w:hAnsi="仿宋" w:eastAsia="仿宋" w:cs="仿宋"/>
                <w:kern w:val="2"/>
                <w:sz w:val="21"/>
                <w:szCs w:val="21"/>
                <w:lang w:val="en-US" w:eastAsia="zh-CN" w:bidi="ar-SA"/>
              </w:rPr>
            </w:pPr>
          </w:p>
        </w:tc>
      </w:tr>
      <w:tr w14:paraId="69D13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64D98C1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color w:val="333333"/>
                <w:kern w:val="0"/>
                <w:sz w:val="18"/>
                <w:szCs w:val="18"/>
                <w:shd w:val="clear" w:color="auto" w:fill="FFFFFF"/>
                <w:lang w:val="en-US" w:eastAsia="zh-CN"/>
              </w:rPr>
            </w:pPr>
            <w:r>
              <w:rPr>
                <w:rFonts w:hint="eastAsia" w:ascii="仿宋" w:hAnsi="仿宋" w:eastAsia="仿宋" w:cs="仿宋"/>
                <w:color w:val="333333"/>
                <w:kern w:val="0"/>
                <w:sz w:val="18"/>
                <w:szCs w:val="18"/>
                <w:shd w:val="clear" w:color="auto" w:fill="FFFFFF"/>
                <w:lang w:val="en-US" w:eastAsia="zh-CN"/>
              </w:rPr>
              <w:t>9</w:t>
            </w:r>
          </w:p>
        </w:tc>
        <w:tc>
          <w:tcPr>
            <w:tcW w:w="1974" w:type="dxa"/>
            <w:shd w:val="clear" w:color="auto" w:fill="auto"/>
            <w:vAlign w:val="center"/>
          </w:tcPr>
          <w:p w14:paraId="55B9F0B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rPr>
              <w:t>基于相场动力学的轻量化车用镁合金焊接熔池内CET转变模拟方法</w:t>
            </w:r>
          </w:p>
        </w:tc>
        <w:tc>
          <w:tcPr>
            <w:tcW w:w="3529" w:type="dxa"/>
            <w:shd w:val="clear" w:color="auto" w:fill="auto"/>
            <w:vAlign w:val="center"/>
          </w:tcPr>
          <w:p w14:paraId="0830FB21">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rPr>
              <w:t>本发明属于材料焊接工艺技术领域,具体涉及一种基于相场动力学的轻量化车用镁合金焊接熔池内CET转变模拟方法及其应用。该模拟方法,包括如下步骤：(1)模拟条件初始化,将模型初始化,根据焊接熔池凝固过程的参数构建模型；(2)构建宏观模型,假设焊接熔池的凝固区域为椭圆的四分之一,并基于该假设建立宏观的传热和生长模型；(3)构建相场模型,建立模拟CET转变的相场模型；(4)计算相场模型,将枝晶生长速度引入到相场模型中,引入形核模型,求解,计算宏观-微观耦合的相场模型。本发明可以动态的再现焊接过程中柱状晶-等轴晶的变化过程,有助于深化理解合金焊接微观组织的演变过程,为微观组织的演变及优化焊接工艺奠定了基础。</w:t>
            </w:r>
          </w:p>
        </w:tc>
        <w:tc>
          <w:tcPr>
            <w:tcW w:w="1755" w:type="dxa"/>
            <w:shd w:val="clear" w:color="auto" w:fill="auto"/>
            <w:vAlign w:val="center"/>
          </w:tcPr>
          <w:p w14:paraId="73733BF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rPr>
              <w:t>王永彪，吴占山，蒋军杰，刘新田，任睿卓，刘建秀</w:t>
            </w:r>
          </w:p>
        </w:tc>
        <w:tc>
          <w:tcPr>
            <w:tcW w:w="1386" w:type="dxa"/>
            <w:shd w:val="clear" w:color="auto" w:fill="auto"/>
            <w:vAlign w:val="center"/>
          </w:tcPr>
          <w:p w14:paraId="3C05C0FC">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长期使用权（10年）、所有权（学校10%，成果完成团队90%）</w:t>
            </w:r>
          </w:p>
        </w:tc>
        <w:tc>
          <w:tcPr>
            <w:tcW w:w="1207" w:type="dxa"/>
            <w:shd w:val="clear" w:color="auto" w:fill="auto"/>
            <w:vAlign w:val="center"/>
          </w:tcPr>
          <w:p w14:paraId="6446574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技术许可</w:t>
            </w:r>
          </w:p>
        </w:tc>
        <w:tc>
          <w:tcPr>
            <w:tcW w:w="1195" w:type="dxa"/>
            <w:shd w:val="clear" w:color="auto" w:fill="auto"/>
            <w:vAlign w:val="center"/>
          </w:tcPr>
          <w:p w14:paraId="65D4409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3.</w:t>
            </w:r>
            <w:r>
              <w:rPr>
                <w:rFonts w:hint="eastAsia" w:ascii="仿宋" w:hAnsi="仿宋" w:eastAsia="仿宋" w:cs="仿宋"/>
                <w:snapToGrid w:val="0"/>
                <w:color w:val="000000"/>
                <w:spacing w:val="-4"/>
                <w:kern w:val="0"/>
                <w:sz w:val="18"/>
                <w:szCs w:val="18"/>
                <w:lang w:val="en-US" w:eastAsia="zh-CN"/>
              </w:rPr>
              <w:t>1</w:t>
            </w:r>
          </w:p>
        </w:tc>
        <w:tc>
          <w:tcPr>
            <w:tcW w:w="1461" w:type="dxa"/>
            <w:shd w:val="clear" w:color="auto" w:fill="auto"/>
            <w:vAlign w:val="center"/>
          </w:tcPr>
          <w:p w14:paraId="3C4811A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lang w:val="en-US" w:eastAsia="zh-CN"/>
              </w:rPr>
              <w:t>深圳思劲信息技术</w:t>
            </w:r>
            <w:r>
              <w:rPr>
                <w:rFonts w:hint="eastAsia" w:ascii="仿宋" w:hAnsi="仿宋" w:eastAsia="仿宋" w:cs="仿宋"/>
                <w:snapToGrid w:val="0"/>
                <w:color w:val="000000"/>
                <w:spacing w:val="-4"/>
                <w:kern w:val="0"/>
                <w:sz w:val="18"/>
                <w:szCs w:val="18"/>
              </w:rPr>
              <w:t>有限公司</w:t>
            </w:r>
          </w:p>
        </w:tc>
        <w:tc>
          <w:tcPr>
            <w:tcW w:w="786" w:type="dxa"/>
            <w:shd w:val="clear" w:color="auto" w:fill="auto"/>
            <w:vAlign w:val="center"/>
          </w:tcPr>
          <w:p w14:paraId="3282D963">
            <w:pPr>
              <w:spacing w:line="360" w:lineRule="auto"/>
              <w:jc w:val="center"/>
              <w:rPr>
                <w:rFonts w:ascii="仿宋" w:hAnsi="仿宋" w:eastAsia="仿宋" w:cs="仿宋"/>
                <w:kern w:val="2"/>
                <w:sz w:val="21"/>
                <w:szCs w:val="21"/>
                <w:lang w:val="en-US" w:eastAsia="zh-CN" w:bidi="ar-SA"/>
              </w:rPr>
            </w:pPr>
          </w:p>
        </w:tc>
      </w:tr>
      <w:tr w14:paraId="76F9C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74CCC828">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color w:val="333333"/>
                <w:kern w:val="0"/>
                <w:sz w:val="18"/>
                <w:szCs w:val="18"/>
                <w:shd w:val="clear" w:color="auto" w:fill="FFFFFF"/>
                <w:lang w:val="en-US" w:eastAsia="zh-CN"/>
              </w:rPr>
            </w:pPr>
            <w:r>
              <w:rPr>
                <w:rFonts w:hint="eastAsia" w:ascii="仿宋" w:hAnsi="仿宋" w:eastAsia="仿宋" w:cs="仿宋"/>
                <w:color w:val="333333"/>
                <w:kern w:val="0"/>
                <w:sz w:val="18"/>
                <w:szCs w:val="18"/>
                <w:shd w:val="clear" w:color="auto" w:fill="FFFFFF"/>
                <w:lang w:val="en-US" w:eastAsia="zh-CN"/>
              </w:rPr>
              <w:t>10</w:t>
            </w:r>
          </w:p>
        </w:tc>
        <w:tc>
          <w:tcPr>
            <w:tcW w:w="1974" w:type="dxa"/>
            <w:shd w:val="clear" w:color="auto" w:fill="auto"/>
            <w:vAlign w:val="center"/>
          </w:tcPr>
          <w:p w14:paraId="2B8B72E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锂离子电池C@Cu@Si复合多孔负极材料的制备方法</w:t>
            </w:r>
          </w:p>
        </w:tc>
        <w:tc>
          <w:tcPr>
            <w:tcW w:w="3529" w:type="dxa"/>
            <w:shd w:val="clear" w:color="auto" w:fill="auto"/>
            <w:vAlign w:val="center"/>
          </w:tcPr>
          <w:p w14:paraId="1B43217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本发明公开了一种锂离子电池C@Cu@Si复合多孔负极材料的制备方法，采用双送粉方式，将铜硅复合粉末通入送粉器，将混合溶液通过注射泵充入雾化器，铜硅复合粉末经高温高压气流携带进入喷管，一同高速撞击至基板表面实现沉积得到复合涂层；将涂层进行碳化，得到锂离子电池C@Cu@Si复合多孔负极材料，本发明碳铜硅三者的双层包覆结构可以有效缓解硅基负极的体积膨胀问题。</w:t>
            </w:r>
          </w:p>
        </w:tc>
        <w:tc>
          <w:tcPr>
            <w:tcW w:w="1755" w:type="dxa"/>
            <w:shd w:val="clear" w:color="auto" w:fill="auto"/>
            <w:vAlign w:val="center"/>
          </w:tcPr>
          <w:p w14:paraId="4A447EC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楚晓婉，宋俊，蒋明杰，张琦，陈宇慧，张若琳</w:t>
            </w:r>
          </w:p>
        </w:tc>
        <w:tc>
          <w:tcPr>
            <w:tcW w:w="1386" w:type="dxa"/>
            <w:shd w:val="clear" w:color="auto" w:fill="auto"/>
            <w:vAlign w:val="center"/>
          </w:tcPr>
          <w:p w14:paraId="5E93EACF">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长期使用权（2年）</w:t>
            </w:r>
          </w:p>
        </w:tc>
        <w:tc>
          <w:tcPr>
            <w:tcW w:w="1207" w:type="dxa"/>
            <w:shd w:val="clear" w:color="auto" w:fill="auto"/>
            <w:vAlign w:val="center"/>
          </w:tcPr>
          <w:p w14:paraId="672D486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技术许可</w:t>
            </w:r>
          </w:p>
        </w:tc>
        <w:tc>
          <w:tcPr>
            <w:tcW w:w="1195" w:type="dxa"/>
            <w:shd w:val="clear" w:color="auto" w:fill="auto"/>
            <w:vAlign w:val="center"/>
          </w:tcPr>
          <w:p w14:paraId="58CFB8E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3.2</w:t>
            </w:r>
          </w:p>
        </w:tc>
        <w:tc>
          <w:tcPr>
            <w:tcW w:w="1461" w:type="dxa"/>
            <w:shd w:val="clear" w:color="auto" w:fill="auto"/>
            <w:vAlign w:val="center"/>
          </w:tcPr>
          <w:p w14:paraId="4540D0BC">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hint="eastAsia" w:ascii="仿宋" w:hAnsi="仿宋" w:eastAsia="仿宋" w:cs="仿宋"/>
                <w:snapToGrid w:val="0"/>
                <w:color w:val="000000"/>
                <w:spacing w:val="-4"/>
                <w:kern w:val="0"/>
                <w:sz w:val="18"/>
                <w:szCs w:val="18"/>
                <w:lang w:val="en-US" w:eastAsia="zh-CN" w:bidi="ar-SA"/>
              </w:rPr>
            </w:pPr>
            <w:r>
              <w:rPr>
                <w:rFonts w:hint="eastAsia" w:ascii="仿宋" w:hAnsi="仿宋" w:eastAsia="仿宋" w:cs="仿宋"/>
                <w:snapToGrid w:val="0"/>
                <w:color w:val="000000"/>
                <w:spacing w:val="-4"/>
                <w:kern w:val="0"/>
                <w:sz w:val="18"/>
                <w:szCs w:val="18"/>
              </w:rPr>
              <w:t>河南睿畅智能科技有限公司</w:t>
            </w:r>
          </w:p>
        </w:tc>
        <w:tc>
          <w:tcPr>
            <w:tcW w:w="786" w:type="dxa"/>
            <w:shd w:val="clear" w:color="auto" w:fill="auto"/>
            <w:vAlign w:val="center"/>
          </w:tcPr>
          <w:p w14:paraId="41C58290">
            <w:pPr>
              <w:spacing w:line="360" w:lineRule="auto"/>
              <w:jc w:val="center"/>
              <w:rPr>
                <w:rFonts w:ascii="仿宋" w:hAnsi="仿宋" w:eastAsia="仿宋" w:cs="仿宋"/>
                <w:kern w:val="2"/>
                <w:sz w:val="21"/>
                <w:szCs w:val="21"/>
                <w:lang w:val="en-US" w:eastAsia="zh-CN" w:bidi="ar-SA"/>
              </w:rPr>
            </w:pPr>
          </w:p>
        </w:tc>
      </w:tr>
    </w:tbl>
    <w:p w14:paraId="01D33096">
      <w:pPr>
        <w:jc w:val="center"/>
        <w:rPr>
          <w:rFonts w:ascii="仿宋" w:hAnsi="仿宋" w:eastAsia="仿宋"/>
          <w:sz w:val="24"/>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Q1ZmM5M2NiYzViNjc4ZWU1ODNmMjFmYjE5YjlkNzIifQ=="/>
  </w:docVars>
  <w:rsids>
    <w:rsidRoot w:val="1308507D"/>
    <w:rsid w:val="00002831"/>
    <w:rsid w:val="00070345"/>
    <w:rsid w:val="000D3EA8"/>
    <w:rsid w:val="001137B2"/>
    <w:rsid w:val="00134853"/>
    <w:rsid w:val="00177E52"/>
    <w:rsid w:val="001A09BA"/>
    <w:rsid w:val="001A5AEC"/>
    <w:rsid w:val="002A40B0"/>
    <w:rsid w:val="005440E0"/>
    <w:rsid w:val="0058314F"/>
    <w:rsid w:val="00643B2E"/>
    <w:rsid w:val="00652DF4"/>
    <w:rsid w:val="007970B5"/>
    <w:rsid w:val="00872187"/>
    <w:rsid w:val="009433FD"/>
    <w:rsid w:val="009F3EF3"/>
    <w:rsid w:val="00A46857"/>
    <w:rsid w:val="00B006CA"/>
    <w:rsid w:val="00B56E65"/>
    <w:rsid w:val="00BD2284"/>
    <w:rsid w:val="00CF2700"/>
    <w:rsid w:val="00D35412"/>
    <w:rsid w:val="00D945B5"/>
    <w:rsid w:val="00E00439"/>
    <w:rsid w:val="00F62A7A"/>
    <w:rsid w:val="00F7230E"/>
    <w:rsid w:val="060845F2"/>
    <w:rsid w:val="0F2B62DD"/>
    <w:rsid w:val="0FBF6A20"/>
    <w:rsid w:val="1308507D"/>
    <w:rsid w:val="163C6B4E"/>
    <w:rsid w:val="1FAC5225"/>
    <w:rsid w:val="29915111"/>
    <w:rsid w:val="2FA605C9"/>
    <w:rsid w:val="32132900"/>
    <w:rsid w:val="3E4C4004"/>
    <w:rsid w:val="415E2C8C"/>
    <w:rsid w:val="41E94664"/>
    <w:rsid w:val="4B207B41"/>
    <w:rsid w:val="50D852D8"/>
    <w:rsid w:val="54435810"/>
    <w:rsid w:val="5840638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 w:type="character" w:customStyle="1" w:styleId="8">
    <w:name w:val="fontstyle11"/>
    <w:qFormat/>
    <w:uiPriority w:val="0"/>
    <w:rPr>
      <w:rFonts w:hint="eastAsia" w:ascii="宋体" w:hAnsi="宋体" w:eastAsia="宋体"/>
      <w:color w:val="000000"/>
      <w:sz w:val="22"/>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3142</Words>
  <Characters>3288</Characters>
  <Lines>9</Lines>
  <Paragraphs>2</Paragraphs>
  <TotalTime>15</TotalTime>
  <ScaleCrop>false</ScaleCrop>
  <LinksUpToDate>false</LinksUpToDate>
  <CharactersWithSpaces>3362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2025-12-05T02:57:00Z</dcterms:created>
  <dc:creator>文档存本地丢失不负责</dc:creator>
  <cp:lastModifiedBy>鲍雅如</cp:lastModifiedBy>
  <cp:lastPrinted>2022-07-25T02:39:00Z</cp:lastPrinted>
  <dcterms:modified xsi:type="dcterms:W3CDTF">2025-12-05T08:59:16Z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