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6389D">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郑州轻工业大学科研成果赋权情况表</w:t>
      </w:r>
    </w:p>
    <w:p w14:paraId="6F068180">
      <w:pPr>
        <w:spacing w:before="156" w:beforeLines="50"/>
        <w:jc w:val="center"/>
        <w:rPr>
          <w:rFonts w:ascii="仿宋" w:hAnsi="仿宋" w:eastAsia="仿宋" w:cs="仿宋"/>
          <w:sz w:val="28"/>
          <w:szCs w:val="28"/>
        </w:rPr>
      </w:pPr>
      <w:r>
        <w:rPr>
          <w:rFonts w:hint="eastAsia" w:ascii="仿宋" w:hAnsi="仿宋" w:eastAsia="仿宋" w:cs="仿宋"/>
          <w:sz w:val="28"/>
          <w:szCs w:val="28"/>
        </w:rPr>
        <w:t xml:space="preserve">                                                                      时间：202</w:t>
      </w:r>
      <w:r>
        <w:rPr>
          <w:rFonts w:ascii="仿宋" w:hAnsi="仿宋" w:eastAsia="仿宋" w:cs="仿宋"/>
          <w:sz w:val="28"/>
          <w:szCs w:val="28"/>
        </w:rPr>
        <w:t>6</w:t>
      </w:r>
      <w:r>
        <w:rPr>
          <w:rFonts w:hint="eastAsia" w:ascii="仿宋" w:hAnsi="仿宋" w:eastAsia="仿宋" w:cs="仿宋"/>
          <w:sz w:val="28"/>
          <w:szCs w:val="28"/>
        </w:rPr>
        <w:t>年</w:t>
      </w:r>
      <w:r>
        <w:rPr>
          <w:rFonts w:ascii="仿宋" w:hAnsi="仿宋" w:eastAsia="仿宋" w:cs="仿宋"/>
          <w:sz w:val="28"/>
          <w:szCs w:val="28"/>
        </w:rPr>
        <w:t>11</w:t>
      </w:r>
      <w:r>
        <w:rPr>
          <w:rFonts w:hint="eastAsia" w:ascii="仿宋" w:hAnsi="仿宋" w:eastAsia="仿宋" w:cs="仿宋"/>
          <w:sz w:val="28"/>
          <w:szCs w:val="28"/>
        </w:rPr>
        <w:t>月</w:t>
      </w:r>
      <w:r>
        <w:rPr>
          <w:rFonts w:hint="eastAsia" w:ascii="仿宋" w:hAnsi="仿宋" w:eastAsia="仿宋" w:cs="仿宋"/>
          <w:sz w:val="28"/>
          <w:szCs w:val="28"/>
          <w:lang w:val="en-US" w:eastAsia="zh-CN"/>
        </w:rPr>
        <w:t>3</w:t>
      </w:r>
      <w:r>
        <w:rPr>
          <w:rFonts w:hint="eastAsia" w:ascii="仿宋" w:hAnsi="仿宋" w:eastAsia="仿宋" w:cs="仿宋"/>
          <w:sz w:val="28"/>
          <w:szCs w:val="28"/>
        </w:rPr>
        <w:t>日</w:t>
      </w:r>
      <w:bookmarkStart w:id="0" w:name="_GoBack"/>
      <w:bookmarkEnd w:id="0"/>
    </w:p>
    <w:tbl>
      <w:tblPr>
        <w:tblStyle w:val="4"/>
        <w:tblpPr w:leftFromText="180" w:rightFromText="180" w:vertAnchor="text" w:horzAnchor="page" w:tblpX="1551" w:tblpY="435"/>
        <w:tblOverlap w:val="never"/>
        <w:tblW w:w="138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
        <w:gridCol w:w="1691"/>
        <w:gridCol w:w="4394"/>
        <w:gridCol w:w="1559"/>
        <w:gridCol w:w="1276"/>
        <w:gridCol w:w="1134"/>
        <w:gridCol w:w="1276"/>
        <w:gridCol w:w="1177"/>
        <w:gridCol w:w="786"/>
      </w:tblGrid>
      <w:tr w14:paraId="544B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544" w:type="dxa"/>
            <w:shd w:val="clear" w:color="auto" w:fill="auto"/>
            <w:vAlign w:val="center"/>
          </w:tcPr>
          <w:p w14:paraId="67A3061D">
            <w:pPr>
              <w:snapToGrid w:val="0"/>
              <w:spacing w:line="340" w:lineRule="atLeast"/>
              <w:jc w:val="center"/>
              <w:rPr>
                <w:rFonts w:ascii="黑体" w:hAnsi="黑体" w:eastAsia="黑体" w:cs="黑体"/>
                <w:sz w:val="24"/>
              </w:rPr>
            </w:pPr>
            <w:r>
              <w:rPr>
                <w:rFonts w:hint="eastAsia" w:ascii="黑体" w:hAnsi="黑体" w:eastAsia="黑体" w:cs="黑体"/>
                <w:sz w:val="24"/>
              </w:rPr>
              <w:t>序号</w:t>
            </w:r>
          </w:p>
        </w:tc>
        <w:tc>
          <w:tcPr>
            <w:tcW w:w="1691" w:type="dxa"/>
            <w:shd w:val="clear" w:color="auto" w:fill="auto"/>
            <w:vAlign w:val="center"/>
          </w:tcPr>
          <w:p w14:paraId="742E75CD">
            <w:pPr>
              <w:snapToGrid w:val="0"/>
              <w:spacing w:line="340" w:lineRule="atLeast"/>
              <w:jc w:val="center"/>
              <w:rPr>
                <w:rFonts w:ascii="黑体" w:hAnsi="黑体" w:eastAsia="黑体" w:cs="黑体"/>
                <w:sz w:val="24"/>
              </w:rPr>
            </w:pPr>
            <w:r>
              <w:rPr>
                <w:rFonts w:hint="eastAsia" w:ascii="黑体" w:hAnsi="黑体" w:eastAsia="黑体" w:cs="黑体"/>
                <w:sz w:val="24"/>
              </w:rPr>
              <w:t>成果名称</w:t>
            </w:r>
          </w:p>
        </w:tc>
        <w:tc>
          <w:tcPr>
            <w:tcW w:w="4394" w:type="dxa"/>
            <w:shd w:val="clear" w:color="auto" w:fill="auto"/>
            <w:vAlign w:val="center"/>
          </w:tcPr>
          <w:p w14:paraId="356A2F90">
            <w:pPr>
              <w:snapToGrid w:val="0"/>
              <w:spacing w:line="340" w:lineRule="atLeast"/>
              <w:jc w:val="center"/>
              <w:rPr>
                <w:rFonts w:ascii="黑体" w:hAnsi="黑体" w:eastAsia="黑体" w:cs="黑体"/>
                <w:sz w:val="24"/>
              </w:rPr>
            </w:pPr>
            <w:r>
              <w:rPr>
                <w:rFonts w:hint="eastAsia" w:ascii="黑体" w:hAnsi="黑体" w:eastAsia="黑体" w:cs="黑体"/>
                <w:sz w:val="24"/>
              </w:rPr>
              <w:t>成果内容摘要</w:t>
            </w:r>
          </w:p>
        </w:tc>
        <w:tc>
          <w:tcPr>
            <w:tcW w:w="1559" w:type="dxa"/>
            <w:shd w:val="clear" w:color="auto" w:fill="auto"/>
            <w:vAlign w:val="center"/>
          </w:tcPr>
          <w:p w14:paraId="45AF64FA">
            <w:pPr>
              <w:snapToGrid w:val="0"/>
              <w:spacing w:line="340" w:lineRule="atLeast"/>
              <w:jc w:val="center"/>
              <w:rPr>
                <w:rFonts w:ascii="黑体" w:hAnsi="黑体" w:eastAsia="黑体" w:cs="黑体"/>
                <w:sz w:val="24"/>
              </w:rPr>
            </w:pPr>
            <w:r>
              <w:rPr>
                <w:rFonts w:hint="eastAsia" w:ascii="黑体" w:hAnsi="黑体" w:eastAsia="黑体" w:cs="黑体"/>
                <w:sz w:val="24"/>
              </w:rPr>
              <w:t>成果完成人</w:t>
            </w:r>
          </w:p>
        </w:tc>
        <w:tc>
          <w:tcPr>
            <w:tcW w:w="1276" w:type="dxa"/>
            <w:shd w:val="clear" w:color="auto" w:fill="auto"/>
            <w:vAlign w:val="center"/>
          </w:tcPr>
          <w:p w14:paraId="74C1B777">
            <w:pPr>
              <w:snapToGrid w:val="0"/>
              <w:spacing w:line="340" w:lineRule="atLeast"/>
              <w:jc w:val="center"/>
              <w:rPr>
                <w:rFonts w:ascii="黑体" w:hAnsi="黑体" w:eastAsia="黑体" w:cs="黑体"/>
                <w:sz w:val="24"/>
              </w:rPr>
            </w:pPr>
            <w:r>
              <w:rPr>
                <w:rFonts w:hint="eastAsia" w:ascii="黑体" w:hAnsi="黑体" w:eastAsia="黑体" w:cs="黑体"/>
                <w:sz w:val="24"/>
              </w:rPr>
              <w:t>赋权类型</w:t>
            </w:r>
          </w:p>
        </w:tc>
        <w:tc>
          <w:tcPr>
            <w:tcW w:w="1134" w:type="dxa"/>
            <w:shd w:val="clear" w:color="auto" w:fill="auto"/>
            <w:vAlign w:val="center"/>
          </w:tcPr>
          <w:p w14:paraId="46A8389B">
            <w:pPr>
              <w:snapToGrid w:val="0"/>
              <w:spacing w:line="340" w:lineRule="atLeast"/>
              <w:jc w:val="center"/>
              <w:rPr>
                <w:rFonts w:ascii="黑体" w:hAnsi="黑体" w:eastAsia="黑体" w:cs="黑体"/>
                <w:sz w:val="24"/>
              </w:rPr>
            </w:pPr>
            <w:r>
              <w:rPr>
                <w:rFonts w:hint="eastAsia" w:ascii="黑体" w:hAnsi="黑体" w:eastAsia="黑体" w:cs="黑体"/>
                <w:sz w:val="24"/>
              </w:rPr>
              <w:t>转化</w:t>
            </w:r>
          </w:p>
          <w:p w14:paraId="3E906D32">
            <w:pPr>
              <w:snapToGrid w:val="0"/>
              <w:spacing w:line="340" w:lineRule="atLeast"/>
              <w:jc w:val="center"/>
              <w:rPr>
                <w:rFonts w:ascii="黑体" w:hAnsi="黑体" w:eastAsia="黑体" w:cs="黑体"/>
                <w:sz w:val="24"/>
              </w:rPr>
            </w:pPr>
            <w:r>
              <w:rPr>
                <w:rFonts w:hint="eastAsia" w:ascii="黑体" w:hAnsi="黑体" w:eastAsia="黑体" w:cs="黑体"/>
                <w:sz w:val="24"/>
              </w:rPr>
              <w:t>方式</w:t>
            </w:r>
          </w:p>
        </w:tc>
        <w:tc>
          <w:tcPr>
            <w:tcW w:w="1276" w:type="dxa"/>
            <w:shd w:val="clear" w:color="auto" w:fill="auto"/>
            <w:vAlign w:val="center"/>
          </w:tcPr>
          <w:p w14:paraId="45B9FDAA">
            <w:pPr>
              <w:snapToGrid w:val="0"/>
              <w:spacing w:line="340" w:lineRule="atLeast"/>
              <w:jc w:val="center"/>
              <w:rPr>
                <w:rFonts w:ascii="黑体" w:hAnsi="黑体" w:eastAsia="黑体" w:cs="黑体"/>
                <w:sz w:val="24"/>
              </w:rPr>
            </w:pPr>
            <w:r>
              <w:rPr>
                <w:rFonts w:hint="eastAsia" w:ascii="黑体" w:hAnsi="黑体" w:eastAsia="黑体" w:cs="黑体"/>
                <w:sz w:val="24"/>
              </w:rPr>
              <w:t>交易金额（万元）</w:t>
            </w:r>
          </w:p>
        </w:tc>
        <w:tc>
          <w:tcPr>
            <w:tcW w:w="1177" w:type="dxa"/>
            <w:shd w:val="clear" w:color="auto" w:fill="auto"/>
            <w:vAlign w:val="center"/>
          </w:tcPr>
          <w:p w14:paraId="0B454F2F">
            <w:pPr>
              <w:snapToGrid w:val="0"/>
              <w:spacing w:line="340" w:lineRule="atLeast"/>
              <w:jc w:val="center"/>
              <w:rPr>
                <w:rFonts w:ascii="黑体" w:hAnsi="黑体" w:eastAsia="黑体" w:cs="黑体"/>
                <w:sz w:val="24"/>
              </w:rPr>
            </w:pPr>
            <w:r>
              <w:rPr>
                <w:rFonts w:hint="eastAsia" w:ascii="黑体" w:hAnsi="黑体" w:eastAsia="黑体" w:cs="黑体"/>
                <w:sz w:val="24"/>
              </w:rPr>
              <w:t>受让方</w:t>
            </w:r>
          </w:p>
        </w:tc>
        <w:tc>
          <w:tcPr>
            <w:tcW w:w="786" w:type="dxa"/>
            <w:shd w:val="clear" w:color="auto" w:fill="auto"/>
            <w:vAlign w:val="center"/>
          </w:tcPr>
          <w:p w14:paraId="7CFB6B2D">
            <w:pPr>
              <w:snapToGrid w:val="0"/>
              <w:spacing w:line="340" w:lineRule="atLeast"/>
              <w:jc w:val="center"/>
              <w:rPr>
                <w:rFonts w:ascii="黑体" w:hAnsi="黑体" w:eastAsia="黑体" w:cs="黑体"/>
                <w:sz w:val="24"/>
              </w:rPr>
            </w:pPr>
            <w:r>
              <w:rPr>
                <w:rFonts w:hint="eastAsia" w:ascii="黑体" w:hAnsi="黑体" w:eastAsia="黑体" w:cs="黑体"/>
                <w:sz w:val="24"/>
              </w:rPr>
              <w:t>备注</w:t>
            </w:r>
          </w:p>
        </w:tc>
      </w:tr>
      <w:tr w14:paraId="48BB1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544" w:type="dxa"/>
            <w:shd w:val="clear" w:color="auto" w:fill="auto"/>
            <w:vAlign w:val="center"/>
          </w:tcPr>
          <w:p w14:paraId="75E7A4F2">
            <w:pPr>
              <w:snapToGrid w:val="0"/>
              <w:spacing w:line="340" w:lineRule="atLeast"/>
              <w:jc w:val="center"/>
              <w:rPr>
                <w:rFonts w:ascii="黑体" w:hAnsi="黑体" w:eastAsia="黑体" w:cs="黑体"/>
                <w:sz w:val="24"/>
              </w:rPr>
            </w:pPr>
            <w:r>
              <w:rPr>
                <w:rFonts w:hint="eastAsia" w:ascii="黑体" w:hAnsi="黑体" w:eastAsia="黑体" w:cs="黑体"/>
                <w:sz w:val="24"/>
              </w:rPr>
              <w:t>1</w:t>
            </w:r>
          </w:p>
        </w:tc>
        <w:tc>
          <w:tcPr>
            <w:tcW w:w="1691" w:type="dxa"/>
            <w:shd w:val="clear" w:color="auto" w:fill="auto"/>
            <w:vAlign w:val="center"/>
          </w:tcPr>
          <w:p w14:paraId="52AFD9FD">
            <w:pPr>
              <w:rPr>
                <w:rFonts w:hint="eastAsia"/>
              </w:rPr>
            </w:pPr>
            <w:r>
              <w:rPr>
                <w:rFonts w:hint="eastAsia"/>
              </w:rPr>
              <w:t>一种矿井热水系统</w:t>
            </w:r>
          </w:p>
        </w:tc>
        <w:tc>
          <w:tcPr>
            <w:tcW w:w="4394" w:type="dxa"/>
            <w:shd w:val="clear" w:color="auto" w:fill="auto"/>
            <w:vAlign w:val="center"/>
          </w:tcPr>
          <w:p w14:paraId="3F4AA556">
            <w:pPr>
              <w:rPr>
                <w:rFonts w:hint="eastAsia"/>
              </w:rPr>
            </w:pPr>
            <w:r>
              <w:rPr>
                <w:rFonts w:hint="eastAsia"/>
              </w:rPr>
              <w:t>本发明公开一种矿井热水系统，包括蒸发器 及热水主机；蒸发器分别设置在矿井的送风口、矿井的排风口处，热水主机设置在矿井地面，根 据季节的变化，热水主机冷凝的液态制冷剂，节流后独立送入独立设置的蒸发器中，分别与外界送入矿井的空气进行蒸发换热，或者与从矿井中排出的空气进行蒸发换热，吸收热量的制冷剂最终通过冷凝换热的方式用于常年稳定制热水，同时动态调节通过矿井的送风口送入矿井的外界 空气温度，全年满足井下正常作业的需要；使用 该方案，能达到在全天候动态调节外界空气以矿井正常工作所需要的温度的基础上，常年高效、稳定、无污染地制热水目的。</w:t>
            </w:r>
          </w:p>
        </w:tc>
        <w:tc>
          <w:tcPr>
            <w:tcW w:w="1559" w:type="dxa"/>
            <w:shd w:val="clear" w:color="auto" w:fill="auto"/>
            <w:vAlign w:val="center"/>
          </w:tcPr>
          <w:p w14:paraId="2DB5B9B2">
            <w:pPr>
              <w:rPr>
                <w:rFonts w:hint="eastAsia"/>
              </w:rPr>
            </w:pPr>
            <w:r>
              <w:rPr>
                <w:rFonts w:hint="eastAsia"/>
              </w:rPr>
              <w:t>金听祥；车福亮；张懿；朱正华；张振亚；张宏杨；李飞鸽；孙东林</w:t>
            </w:r>
          </w:p>
        </w:tc>
        <w:tc>
          <w:tcPr>
            <w:tcW w:w="1276" w:type="dxa"/>
            <w:shd w:val="clear" w:color="auto" w:fill="auto"/>
            <w:vAlign w:val="center"/>
          </w:tcPr>
          <w:p w14:paraId="2FA1B942">
            <w:pPr>
              <w:rPr>
                <w:rFonts w:hint="eastAsia"/>
              </w:rPr>
            </w:pPr>
            <w:r>
              <w:rPr>
                <w:rFonts w:hint="eastAsia"/>
              </w:rPr>
              <w:t>校10%，成果完成团队90%）</w:t>
            </w:r>
          </w:p>
        </w:tc>
        <w:tc>
          <w:tcPr>
            <w:tcW w:w="1134" w:type="dxa"/>
            <w:shd w:val="clear" w:color="auto" w:fill="auto"/>
            <w:vAlign w:val="center"/>
          </w:tcPr>
          <w:p w14:paraId="53344709">
            <w:pPr>
              <w:rPr>
                <w:rFonts w:hint="eastAsia"/>
              </w:rPr>
            </w:pPr>
            <w:r>
              <w:rPr>
                <w:rFonts w:hint="eastAsia"/>
              </w:rPr>
              <w:t>技术转让</w:t>
            </w:r>
          </w:p>
        </w:tc>
        <w:tc>
          <w:tcPr>
            <w:tcW w:w="1276" w:type="dxa"/>
            <w:shd w:val="clear" w:color="auto" w:fill="auto"/>
            <w:vAlign w:val="center"/>
          </w:tcPr>
          <w:p w14:paraId="17960CF2">
            <w:pPr>
              <w:rPr>
                <w:rFonts w:hint="eastAsia"/>
              </w:rPr>
            </w:pPr>
            <w:r>
              <w:rPr>
                <w:rFonts w:hint="eastAsia"/>
              </w:rPr>
              <w:t>35</w:t>
            </w:r>
          </w:p>
        </w:tc>
        <w:tc>
          <w:tcPr>
            <w:tcW w:w="1177" w:type="dxa"/>
            <w:shd w:val="clear" w:color="auto" w:fill="auto"/>
            <w:vAlign w:val="center"/>
          </w:tcPr>
          <w:p w14:paraId="727B703C">
            <w:pPr>
              <w:rPr>
                <w:rFonts w:hint="eastAsia"/>
              </w:rPr>
            </w:pPr>
            <w:r>
              <w:rPr>
                <w:rFonts w:hint="eastAsia"/>
              </w:rPr>
              <w:t>亿联鑫工程科技有限公司</w:t>
            </w:r>
          </w:p>
        </w:tc>
        <w:tc>
          <w:tcPr>
            <w:tcW w:w="786" w:type="dxa"/>
            <w:shd w:val="clear" w:color="auto" w:fill="auto"/>
            <w:vAlign w:val="center"/>
          </w:tcPr>
          <w:p w14:paraId="048DA337">
            <w:pPr>
              <w:spacing w:line="340" w:lineRule="atLeast"/>
              <w:jc w:val="center"/>
              <w:rPr>
                <w:rFonts w:ascii="仿宋" w:hAnsi="仿宋" w:eastAsia="仿宋" w:cs="仿宋"/>
                <w:sz w:val="28"/>
                <w:szCs w:val="28"/>
              </w:rPr>
            </w:pPr>
          </w:p>
        </w:tc>
      </w:tr>
      <w:tr w14:paraId="3790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4CEF7A7D">
            <w:pPr>
              <w:snapToGrid w:val="0"/>
              <w:spacing w:line="340" w:lineRule="atLeast"/>
              <w:jc w:val="center"/>
              <w:rPr>
                <w:rFonts w:ascii="黑体" w:hAnsi="黑体" w:eastAsia="黑体" w:cs="黑体"/>
                <w:sz w:val="24"/>
              </w:rPr>
            </w:pPr>
            <w:r>
              <w:rPr>
                <w:rFonts w:hint="eastAsia" w:ascii="黑体" w:hAnsi="黑体" w:eastAsia="黑体" w:cs="黑体"/>
                <w:sz w:val="24"/>
              </w:rPr>
              <w:t>2</w:t>
            </w:r>
          </w:p>
        </w:tc>
        <w:tc>
          <w:tcPr>
            <w:tcW w:w="1691" w:type="dxa"/>
            <w:shd w:val="clear" w:color="auto" w:fill="auto"/>
            <w:vAlign w:val="center"/>
          </w:tcPr>
          <w:p w14:paraId="1A3AEE4C">
            <w:pPr>
              <w:rPr>
                <w:rFonts w:hint="eastAsia"/>
                <w:lang w:val="en-US" w:eastAsia="zh-CN"/>
              </w:rPr>
            </w:pPr>
            <w:r>
              <w:rPr>
                <w:rFonts w:hint="eastAsia"/>
                <w:lang w:val="en-US" w:eastAsia="zh-CN"/>
              </w:rPr>
              <w:t>海水淡化方法及相应的海水淡化产品</w:t>
            </w:r>
          </w:p>
        </w:tc>
        <w:tc>
          <w:tcPr>
            <w:tcW w:w="4394" w:type="dxa"/>
            <w:shd w:val="clear" w:color="auto" w:fill="auto"/>
            <w:vAlign w:val="center"/>
          </w:tcPr>
          <w:p w14:paraId="61D487C3">
            <w:pPr>
              <w:rPr>
                <w:rFonts w:hint="eastAsia"/>
                <w:lang w:val="en-US" w:eastAsia="zh-CN"/>
              </w:rPr>
            </w:pPr>
            <w:r>
              <w:rPr>
                <w:rFonts w:hint="eastAsia"/>
                <w:lang w:val="en-US" w:eastAsia="zh-CN"/>
              </w:rPr>
              <w:t>本发明公开涉及一种海水淡化方法及相应的海水淡化产品，涉及海水淡化技术领域。其中，所述的海水淡化方法，包括：实时获取用于对存储海水加热的储热水箱所处的环境参数、所述储热水箱外侧设置的相变储热控温层对应的储热控温层温度及所述储热水箱的出液口处对应的出液温度；在所述热模式下，利用与所述出液口连接的膜式加湿器及与所述膜式加湿器连接的冷凝器，到得空气冷凝淡水；将所述膜式加湿器排出的海水输送至蒸发池，得到海水冷凝淡水。本公开实施例可实现海水淡化。在所述热模式下，利用与所述出液口连接的膜式加湿器及与所述膜式加湿器连接的冷凝器，到得空气冷凝淡水；将所述膜式加湿器排出的海水输送至蒸发池，得到海水冷凝淡水。本公开实施例可实现海水淡化。</w:t>
            </w:r>
          </w:p>
        </w:tc>
        <w:tc>
          <w:tcPr>
            <w:tcW w:w="1559" w:type="dxa"/>
            <w:shd w:val="clear" w:color="auto" w:fill="auto"/>
            <w:vAlign w:val="center"/>
          </w:tcPr>
          <w:p w14:paraId="31693FD9">
            <w:pPr>
              <w:rPr>
                <w:rFonts w:hint="eastAsia"/>
                <w:lang w:val="en-US" w:eastAsia="zh-CN"/>
              </w:rPr>
            </w:pPr>
            <w:r>
              <w:rPr>
                <w:rFonts w:hint="eastAsia"/>
                <w:lang w:val="en-US" w:eastAsia="zh-CN"/>
              </w:rPr>
              <w:t>李国培；金听祥；车辐亮；孟璐璐；冯地；曹俊；李启芝；吉扬雯；蔡宗昂；张乃鑫</w:t>
            </w:r>
          </w:p>
        </w:tc>
        <w:tc>
          <w:tcPr>
            <w:tcW w:w="1276" w:type="dxa"/>
            <w:shd w:val="clear" w:color="auto" w:fill="auto"/>
            <w:vAlign w:val="center"/>
          </w:tcPr>
          <w:p w14:paraId="2DC332E9">
            <w:pPr>
              <w:rPr>
                <w:rFonts w:hint="eastAsia"/>
                <w:lang w:val="en-US" w:eastAsia="zh-CN"/>
              </w:rPr>
            </w:pPr>
            <w:r>
              <w:rPr>
                <w:rFonts w:hint="eastAsia"/>
                <w:lang w:val="en-US" w:eastAsia="zh-CN"/>
              </w:rPr>
              <w:t>所有权（学校10%，成果完成团队90%）</w:t>
            </w:r>
          </w:p>
        </w:tc>
        <w:tc>
          <w:tcPr>
            <w:tcW w:w="1134" w:type="dxa"/>
            <w:shd w:val="clear" w:color="auto" w:fill="auto"/>
            <w:vAlign w:val="center"/>
          </w:tcPr>
          <w:p w14:paraId="3484EEA2">
            <w:pPr>
              <w:rPr>
                <w:rFonts w:hint="eastAsia"/>
                <w:lang w:val="en-US" w:eastAsia="zh-CN"/>
              </w:rPr>
            </w:pPr>
            <w:r>
              <w:rPr>
                <w:rFonts w:hint="eastAsia"/>
                <w:lang w:val="en-US" w:eastAsia="zh-CN"/>
              </w:rPr>
              <w:t>技术转让</w:t>
            </w:r>
          </w:p>
        </w:tc>
        <w:tc>
          <w:tcPr>
            <w:tcW w:w="1276" w:type="dxa"/>
            <w:shd w:val="clear" w:color="auto" w:fill="auto"/>
            <w:vAlign w:val="center"/>
          </w:tcPr>
          <w:p w14:paraId="6AC39C75">
            <w:pPr>
              <w:rPr>
                <w:rFonts w:hint="eastAsia"/>
                <w:lang w:val="en-US" w:eastAsia="zh-CN"/>
              </w:rPr>
            </w:pPr>
            <w:r>
              <w:rPr>
                <w:rFonts w:hint="eastAsia"/>
                <w:lang w:val="en-US" w:eastAsia="zh-CN"/>
              </w:rPr>
              <w:t>35</w:t>
            </w:r>
          </w:p>
        </w:tc>
        <w:tc>
          <w:tcPr>
            <w:tcW w:w="1177" w:type="dxa"/>
            <w:shd w:val="clear" w:color="auto" w:fill="auto"/>
            <w:vAlign w:val="center"/>
          </w:tcPr>
          <w:p w14:paraId="6D562C03">
            <w:pPr>
              <w:rPr>
                <w:rFonts w:hint="eastAsia"/>
                <w:lang w:val="en-US" w:eastAsia="zh-CN"/>
              </w:rPr>
            </w:pPr>
            <w:r>
              <w:rPr>
                <w:rFonts w:hint="eastAsia"/>
                <w:lang w:val="en-US" w:eastAsia="zh-CN"/>
              </w:rPr>
              <w:t>亿联鑫工程科技有限公司</w:t>
            </w:r>
          </w:p>
        </w:tc>
        <w:tc>
          <w:tcPr>
            <w:tcW w:w="786" w:type="dxa"/>
            <w:shd w:val="clear" w:color="auto" w:fill="auto"/>
            <w:vAlign w:val="center"/>
          </w:tcPr>
          <w:p w14:paraId="1DE3646E">
            <w:pPr>
              <w:spacing w:line="340" w:lineRule="atLeast"/>
              <w:jc w:val="center"/>
              <w:rPr>
                <w:rFonts w:ascii="仿宋" w:hAnsi="仿宋" w:eastAsia="仿宋" w:cs="仿宋"/>
                <w:sz w:val="28"/>
                <w:szCs w:val="28"/>
              </w:rPr>
            </w:pPr>
          </w:p>
        </w:tc>
      </w:tr>
      <w:tr w14:paraId="74B52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544" w:type="dxa"/>
            <w:shd w:val="clear" w:color="auto" w:fill="auto"/>
            <w:vAlign w:val="center"/>
          </w:tcPr>
          <w:p w14:paraId="40AA135B">
            <w:pPr>
              <w:snapToGrid w:val="0"/>
              <w:spacing w:line="340" w:lineRule="atLeast"/>
              <w:jc w:val="center"/>
              <w:rPr>
                <w:rFonts w:ascii="黑体" w:hAnsi="黑体" w:eastAsia="黑体" w:cs="黑体"/>
                <w:sz w:val="24"/>
              </w:rPr>
            </w:pPr>
            <w:r>
              <w:rPr>
                <w:rFonts w:hint="eastAsia" w:ascii="黑体" w:hAnsi="黑体" w:eastAsia="黑体" w:cs="黑体"/>
                <w:sz w:val="24"/>
              </w:rPr>
              <w:t>3</w:t>
            </w:r>
          </w:p>
        </w:tc>
        <w:tc>
          <w:tcPr>
            <w:tcW w:w="1691" w:type="dxa"/>
            <w:shd w:val="clear" w:color="auto" w:fill="auto"/>
            <w:vAlign w:val="center"/>
          </w:tcPr>
          <w:p w14:paraId="57B56672">
            <w:pPr>
              <w:rPr>
                <w:rFonts w:hint="eastAsia"/>
                <w:lang w:val="en-US" w:eastAsia="zh-CN"/>
              </w:rPr>
            </w:pPr>
            <w:r>
              <w:rPr>
                <w:rFonts w:hint="eastAsia"/>
                <w:lang w:val="en-US" w:eastAsia="zh-CN"/>
              </w:rPr>
              <w:t>一种基于互联网的软件运行环境安全监管系统</w:t>
            </w:r>
          </w:p>
        </w:tc>
        <w:tc>
          <w:tcPr>
            <w:tcW w:w="4394" w:type="dxa"/>
            <w:shd w:val="clear" w:color="auto" w:fill="auto"/>
            <w:vAlign w:val="center"/>
          </w:tcPr>
          <w:p w14:paraId="25011C82">
            <w:pPr>
              <w:rPr>
                <w:rFonts w:hint="eastAsia"/>
                <w:lang w:val="en-US" w:eastAsia="zh-CN"/>
              </w:rPr>
            </w:pPr>
            <w:r>
              <w:rPr>
                <w:rFonts w:hint="eastAsia"/>
                <w:lang w:val="en-US" w:eastAsia="zh-CN"/>
              </w:rPr>
              <w:t>本发明公开了一种基于互联网的软件运行环境安全监管系统，本发明涉及软件安全技术领域，解决了并未基于对应软件在历史过程中所产生的不同历史流量数据进行特征流量的相关确认，导致无法提升运行软件安全监管的全面性的问题，本发明通过对历史流量数据进行区间分析时，通过计算不同处理区间的特征密度，并比较得出特征最明显的区间作为特征流量区间，该方法充分考虑了流量数据的分布和变化情况；同时，基于特征流量区间进一步确定特征趋势区间，能够全面刻画软件正常运行时的流量特征，为后续准确判断异常状态奠定基础。</w:t>
            </w:r>
          </w:p>
        </w:tc>
        <w:tc>
          <w:tcPr>
            <w:tcW w:w="1559" w:type="dxa"/>
            <w:shd w:val="clear" w:color="auto" w:fill="auto"/>
            <w:vAlign w:val="center"/>
          </w:tcPr>
          <w:p w14:paraId="49F4DABE">
            <w:pPr>
              <w:rPr>
                <w:rFonts w:hint="default"/>
                <w:lang w:val="en-US" w:eastAsia="zh-CN"/>
              </w:rPr>
            </w:pPr>
            <w:r>
              <w:rPr>
                <w:rFonts w:hint="eastAsia"/>
                <w:lang w:val="en-US" w:eastAsia="zh-CN"/>
              </w:rPr>
              <w:t>田雨、豆铨煜</w:t>
            </w:r>
          </w:p>
        </w:tc>
        <w:tc>
          <w:tcPr>
            <w:tcW w:w="1276" w:type="dxa"/>
            <w:shd w:val="clear" w:color="auto" w:fill="auto"/>
            <w:vAlign w:val="center"/>
          </w:tcPr>
          <w:p w14:paraId="517885FC">
            <w:pPr>
              <w:rPr>
                <w:rFonts w:hint="default"/>
                <w:lang w:val="en-US" w:eastAsia="zh-CN"/>
              </w:rPr>
            </w:pPr>
            <w:r>
              <w:rPr>
                <w:rFonts w:hint="eastAsia"/>
                <w:lang w:val="en-US" w:eastAsia="zh-CN"/>
              </w:rPr>
              <w:t>长期使用权（10年）</w:t>
            </w:r>
          </w:p>
        </w:tc>
        <w:tc>
          <w:tcPr>
            <w:tcW w:w="1134" w:type="dxa"/>
            <w:shd w:val="clear" w:color="auto" w:fill="auto"/>
            <w:vAlign w:val="center"/>
          </w:tcPr>
          <w:p w14:paraId="313929E8">
            <w:pPr>
              <w:rPr>
                <w:rFonts w:hint="default"/>
                <w:lang w:val="en-US" w:eastAsia="zh-CN"/>
              </w:rPr>
            </w:pPr>
            <w:r>
              <w:rPr>
                <w:rFonts w:hint="eastAsia"/>
                <w:lang w:val="en-US" w:eastAsia="zh-CN"/>
              </w:rPr>
              <w:t>技术许可</w:t>
            </w:r>
          </w:p>
          <w:p w14:paraId="44B7DB93">
            <w:pPr>
              <w:rPr>
                <w:rFonts w:hint="eastAsia"/>
                <w:lang w:val="en-US" w:eastAsia="zh-CN"/>
              </w:rPr>
            </w:pPr>
          </w:p>
        </w:tc>
        <w:tc>
          <w:tcPr>
            <w:tcW w:w="1276" w:type="dxa"/>
            <w:shd w:val="clear" w:color="auto" w:fill="auto"/>
            <w:vAlign w:val="center"/>
          </w:tcPr>
          <w:p w14:paraId="2F8F3BC1">
            <w:pPr>
              <w:rPr>
                <w:rFonts w:hint="default"/>
                <w:lang w:val="en-US" w:eastAsia="zh-CN"/>
              </w:rPr>
            </w:pPr>
            <w:r>
              <w:rPr>
                <w:rFonts w:hint="eastAsia"/>
                <w:lang w:val="en-US" w:eastAsia="zh-CN"/>
              </w:rPr>
              <w:t>10</w:t>
            </w:r>
          </w:p>
        </w:tc>
        <w:tc>
          <w:tcPr>
            <w:tcW w:w="1177" w:type="dxa"/>
            <w:shd w:val="clear" w:color="auto" w:fill="auto"/>
            <w:vAlign w:val="center"/>
          </w:tcPr>
          <w:p w14:paraId="24F42EF6">
            <w:pPr>
              <w:rPr>
                <w:rFonts w:hint="eastAsia"/>
                <w:lang w:val="en-US" w:eastAsia="zh-CN"/>
              </w:rPr>
            </w:pPr>
            <w:r>
              <w:rPr>
                <w:rFonts w:hint="eastAsia"/>
                <w:lang w:val="en-US" w:eastAsia="zh-CN"/>
              </w:rPr>
              <w:t>河南瀚源水务有限公司</w:t>
            </w:r>
          </w:p>
        </w:tc>
        <w:tc>
          <w:tcPr>
            <w:tcW w:w="786" w:type="dxa"/>
            <w:shd w:val="clear" w:color="auto" w:fill="auto"/>
            <w:vAlign w:val="center"/>
          </w:tcPr>
          <w:p w14:paraId="46BA50A9">
            <w:pPr>
              <w:spacing w:line="340" w:lineRule="atLeast"/>
              <w:jc w:val="center"/>
              <w:rPr>
                <w:rFonts w:ascii="仿宋" w:hAnsi="仿宋" w:eastAsia="仿宋" w:cs="仿宋"/>
                <w:sz w:val="28"/>
                <w:szCs w:val="28"/>
              </w:rPr>
            </w:pPr>
          </w:p>
        </w:tc>
      </w:tr>
      <w:tr w14:paraId="7E2F3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39C3EAAE">
            <w:pPr>
              <w:snapToGrid w:val="0"/>
              <w:spacing w:line="340" w:lineRule="atLeast"/>
              <w:jc w:val="center"/>
              <w:rPr>
                <w:rFonts w:hint="eastAsia" w:ascii="黑体" w:hAnsi="黑体" w:eastAsia="黑体" w:cs="黑体"/>
                <w:sz w:val="24"/>
                <w:lang w:val="en-US" w:eastAsia="zh-CN"/>
              </w:rPr>
            </w:pPr>
            <w:r>
              <w:rPr>
                <w:rFonts w:hint="eastAsia" w:ascii="黑体" w:hAnsi="黑体" w:eastAsia="黑体" w:cs="黑体"/>
                <w:sz w:val="24"/>
                <w:lang w:val="en-US" w:eastAsia="zh-CN"/>
              </w:rPr>
              <w:t>4</w:t>
            </w:r>
          </w:p>
        </w:tc>
        <w:tc>
          <w:tcPr>
            <w:tcW w:w="1691" w:type="dxa"/>
            <w:shd w:val="clear" w:color="auto" w:fill="auto"/>
            <w:vAlign w:val="center"/>
          </w:tcPr>
          <w:p w14:paraId="372BB7BB">
            <w:pPr>
              <w:rPr>
                <w:rFonts w:hint="eastAsia"/>
                <w:lang w:val="en-US" w:eastAsia="zh-CN"/>
              </w:rPr>
            </w:pPr>
            <w:r>
              <w:rPr>
                <w:rFonts w:hint="eastAsia"/>
                <w:lang w:val="en-US" w:eastAsia="zh-CN"/>
              </w:rPr>
              <w:t>Une structure antivibratoire à amortisseur pour construction</w:t>
            </w:r>
          </w:p>
        </w:tc>
        <w:tc>
          <w:tcPr>
            <w:tcW w:w="4394" w:type="dxa"/>
            <w:shd w:val="clear" w:color="auto" w:fill="auto"/>
            <w:vAlign w:val="center"/>
          </w:tcPr>
          <w:p w14:paraId="0406523A">
            <w:pPr>
              <w:rPr>
                <w:rFonts w:hint="eastAsia"/>
                <w:lang w:val="en-US" w:eastAsia="zh-CN"/>
              </w:rPr>
            </w:pPr>
            <w:r>
              <w:rPr>
                <w:rFonts w:hint="eastAsia"/>
                <w:lang w:val="en-US" w:eastAsia="zh-CN"/>
              </w:rPr>
              <w:t>本发明涉及抗震结构，具体为一种建筑用阻尼抗震结构。本发明的优点在于：隔震橡胶配合弹簧阻尼避震器，两者相配合可以起到较好的隔震效果，与隔振构件配合和一起到减隔震的目的，进而的提高了阻尼抗震结构的抗震效果。</w:t>
            </w:r>
          </w:p>
        </w:tc>
        <w:tc>
          <w:tcPr>
            <w:tcW w:w="1559" w:type="dxa"/>
            <w:shd w:val="clear" w:color="auto" w:fill="auto"/>
            <w:vAlign w:val="center"/>
          </w:tcPr>
          <w:p w14:paraId="56BF72C7">
            <w:pPr>
              <w:rPr>
                <w:rFonts w:hint="eastAsia"/>
                <w:lang w:val="en-US" w:eastAsia="zh-CN"/>
              </w:rPr>
            </w:pPr>
            <w:r>
              <w:rPr>
                <w:rFonts w:hint="eastAsia"/>
                <w:lang w:val="en-US" w:eastAsia="zh-CN"/>
              </w:rPr>
              <w:t>李菲</w:t>
            </w:r>
          </w:p>
        </w:tc>
        <w:tc>
          <w:tcPr>
            <w:tcW w:w="1276" w:type="dxa"/>
            <w:shd w:val="clear" w:color="auto" w:fill="auto"/>
            <w:vAlign w:val="center"/>
          </w:tcPr>
          <w:p w14:paraId="5CFFB923">
            <w:pPr>
              <w:rPr>
                <w:rFonts w:hint="eastAsia"/>
                <w:lang w:val="en-US" w:eastAsia="zh-CN"/>
              </w:rPr>
            </w:pPr>
            <w:r>
              <w:rPr>
                <w:rFonts w:hint="eastAsia"/>
                <w:lang w:val="en-US" w:eastAsia="zh-CN"/>
              </w:rPr>
              <w:t>所有权（学校10%，成果完成团队90%）</w:t>
            </w:r>
          </w:p>
        </w:tc>
        <w:tc>
          <w:tcPr>
            <w:tcW w:w="1134" w:type="dxa"/>
            <w:shd w:val="clear" w:color="auto" w:fill="auto"/>
            <w:vAlign w:val="center"/>
          </w:tcPr>
          <w:p w14:paraId="6FEA50C7">
            <w:pPr>
              <w:rPr>
                <w:rFonts w:hint="eastAsia"/>
                <w:lang w:val="en-US" w:eastAsia="zh-CN"/>
              </w:rPr>
            </w:pPr>
            <w:r>
              <w:rPr>
                <w:rFonts w:hint="eastAsia"/>
                <w:lang w:val="en-US" w:eastAsia="zh-CN"/>
              </w:rPr>
              <w:t>技术转让</w:t>
            </w:r>
          </w:p>
        </w:tc>
        <w:tc>
          <w:tcPr>
            <w:tcW w:w="1276" w:type="dxa"/>
            <w:shd w:val="clear" w:color="auto" w:fill="auto"/>
            <w:vAlign w:val="center"/>
          </w:tcPr>
          <w:p w14:paraId="36232EBA">
            <w:pPr>
              <w:rPr>
                <w:rFonts w:hint="eastAsia"/>
                <w:lang w:val="en-US" w:eastAsia="zh-CN"/>
              </w:rPr>
            </w:pPr>
            <w:r>
              <w:rPr>
                <w:rFonts w:hint="eastAsia"/>
                <w:lang w:val="en-US" w:eastAsia="zh-CN"/>
              </w:rPr>
              <w:t>3.3</w:t>
            </w:r>
          </w:p>
        </w:tc>
        <w:tc>
          <w:tcPr>
            <w:tcW w:w="1177" w:type="dxa"/>
            <w:shd w:val="clear" w:color="auto" w:fill="auto"/>
            <w:vAlign w:val="center"/>
          </w:tcPr>
          <w:p w14:paraId="01BDC078">
            <w:pPr>
              <w:rPr>
                <w:rFonts w:hint="eastAsia"/>
                <w:lang w:val="en-US" w:eastAsia="zh-CN"/>
              </w:rPr>
            </w:pPr>
            <w:r>
              <w:rPr>
                <w:rFonts w:hint="eastAsia"/>
                <w:lang w:val="en-US" w:eastAsia="zh-CN"/>
              </w:rPr>
              <w:t>郑州汇知果科创有限公司</w:t>
            </w:r>
          </w:p>
        </w:tc>
        <w:tc>
          <w:tcPr>
            <w:tcW w:w="786" w:type="dxa"/>
            <w:shd w:val="clear" w:color="auto" w:fill="auto"/>
            <w:vAlign w:val="center"/>
          </w:tcPr>
          <w:p w14:paraId="2F489727">
            <w:pPr>
              <w:spacing w:line="340" w:lineRule="atLeast"/>
              <w:jc w:val="center"/>
              <w:rPr>
                <w:rFonts w:ascii="仿宋" w:hAnsi="仿宋" w:eastAsia="仿宋" w:cs="仿宋"/>
                <w:sz w:val="28"/>
                <w:szCs w:val="28"/>
              </w:rPr>
            </w:pPr>
          </w:p>
        </w:tc>
      </w:tr>
    </w:tbl>
    <w:p w14:paraId="6C69426F"/>
    <w:p w14:paraId="733E6861"/>
    <w:p w14:paraId="3C374261"/>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10601030101010101"/>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1ZmM5M2NiYzViNjc4ZWU1ODNmMjFmYjE5YjlkNzIifQ=="/>
  </w:docVars>
  <w:rsids>
    <w:rsidRoot w:val="1308507D"/>
    <w:rsid w:val="0021054C"/>
    <w:rsid w:val="00232AE5"/>
    <w:rsid w:val="0049766F"/>
    <w:rsid w:val="004C556C"/>
    <w:rsid w:val="00660FA1"/>
    <w:rsid w:val="00A262FD"/>
    <w:rsid w:val="00E408AB"/>
    <w:rsid w:val="0F2B62DD"/>
    <w:rsid w:val="1308507D"/>
    <w:rsid w:val="1EF55EBD"/>
    <w:rsid w:val="2B0C6C39"/>
    <w:rsid w:val="415E2C8C"/>
    <w:rsid w:val="50D852D8"/>
    <w:rsid w:val="58406388"/>
    <w:rsid w:val="78702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Calibri" w:hAnsi="Calibri"/>
      <w:kern w:val="2"/>
      <w:sz w:val="18"/>
      <w:szCs w:val="18"/>
    </w:rPr>
  </w:style>
  <w:style w:type="character" w:customStyle="1" w:styleId="7">
    <w:name w:val="页脚 字符"/>
    <w:basedOn w:val="5"/>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1080</Words>
  <Characters>1096</Characters>
  <Lines>6</Lines>
  <Paragraphs>1</Paragraphs>
  <TotalTime>1</TotalTime>
  <ScaleCrop>false</ScaleCrop>
  <LinksUpToDate>false</LinksUpToDate>
  <CharactersWithSpaces>1170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2022-07-25T00:53:00Z</dcterms:created>
  <dc:creator>文档存本地丢失不负责</dc:creator>
  <cp:lastModifiedBy>鲍雅如</cp:lastModifiedBy>
  <cp:lastPrinted>2022-07-25T02:39:00Z</cp:lastPrinted>
  <dcterms:modified xsi:type="dcterms:W3CDTF">2026-11-03T08:33:13Z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04E34C3E7BF5406E98A6D3A2BBB78A85_13</vt:lpwstr>
  </property>
  <property fmtid="{D5CDD505-2E9C-101B-9397-08002B2CF9AE}" pid="4" name="KSOTemplateDocerSaveRecord">
    <vt:lpwstr>eyJoZGlkIjoiNjRiMWNhNzcyYTNmZTkwZTQxMjQ2NTA4NDVmOGU4OGYiLCJ1c2VySWQiOiIzMDA5MzIwNzcifQ==</vt:lpwstr>
  </property>
</Properties>
</file>