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180E25">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1FE39B5A">
      <w:pPr>
        <w:spacing w:before="156" w:beforeLines="50"/>
        <w:jc w:val="center"/>
        <w:rPr>
          <w:rFonts w:hint="eastAsia" w:ascii="仿宋" w:hAnsi="仿宋" w:eastAsia="仿宋" w:cs="仿宋"/>
          <w:sz w:val="28"/>
          <w:szCs w:val="28"/>
        </w:rPr>
      </w:pPr>
      <w:r>
        <w:rPr>
          <w:rFonts w:hint="eastAsia" w:ascii="仿宋" w:hAnsi="仿宋" w:eastAsia="仿宋" w:cs="仿宋"/>
          <w:sz w:val="28"/>
          <w:szCs w:val="28"/>
        </w:rPr>
        <w:t xml:space="preserve">                                                                      时间：2025年10月</w:t>
      </w:r>
      <w:r>
        <w:rPr>
          <w:rFonts w:hint="eastAsia" w:ascii="仿宋" w:hAnsi="仿宋" w:eastAsia="仿宋" w:cs="仿宋"/>
          <w:sz w:val="28"/>
          <w:szCs w:val="28"/>
          <w:lang w:val="en-US" w:eastAsia="zh-CN"/>
        </w:rPr>
        <w:t>20</w:t>
      </w:r>
      <w:r>
        <w:rPr>
          <w:rFonts w:hint="eastAsia" w:ascii="仿宋" w:hAnsi="仿宋" w:eastAsia="仿宋" w:cs="仿宋"/>
          <w:sz w:val="28"/>
          <w:szCs w:val="28"/>
        </w:rPr>
        <w:t>日</w:t>
      </w:r>
    </w:p>
    <w:tbl>
      <w:tblPr>
        <w:tblStyle w:val="4"/>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2145"/>
        <w:gridCol w:w="3260"/>
        <w:gridCol w:w="1417"/>
        <w:gridCol w:w="1822"/>
        <w:gridCol w:w="1207"/>
        <w:gridCol w:w="1371"/>
        <w:gridCol w:w="1285"/>
        <w:gridCol w:w="786"/>
      </w:tblGrid>
      <w:tr w14:paraId="48399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vAlign w:val="center"/>
          </w:tcPr>
          <w:p w14:paraId="79CB938C">
            <w:pPr>
              <w:snapToGrid w:val="0"/>
              <w:spacing w:line="340" w:lineRule="atLeast"/>
              <w:jc w:val="center"/>
              <w:rPr>
                <w:rFonts w:hint="eastAsia" w:ascii="黑体" w:hAnsi="黑体" w:eastAsia="黑体" w:cs="黑体"/>
                <w:sz w:val="24"/>
              </w:rPr>
            </w:pPr>
            <w:r>
              <w:rPr>
                <w:rFonts w:hint="eastAsia" w:ascii="黑体" w:hAnsi="黑体" w:eastAsia="黑体" w:cs="黑体"/>
                <w:sz w:val="24"/>
              </w:rPr>
              <w:t>序号</w:t>
            </w:r>
          </w:p>
        </w:tc>
        <w:tc>
          <w:tcPr>
            <w:tcW w:w="2145" w:type="dxa"/>
            <w:vAlign w:val="center"/>
          </w:tcPr>
          <w:p w14:paraId="11E8697C">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成果名称</w:t>
            </w:r>
          </w:p>
        </w:tc>
        <w:tc>
          <w:tcPr>
            <w:tcW w:w="3260" w:type="dxa"/>
            <w:vAlign w:val="center"/>
          </w:tcPr>
          <w:p w14:paraId="1C2364D5">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成果内容摘要</w:t>
            </w:r>
          </w:p>
        </w:tc>
        <w:tc>
          <w:tcPr>
            <w:tcW w:w="1417" w:type="dxa"/>
            <w:vAlign w:val="center"/>
          </w:tcPr>
          <w:p w14:paraId="14E00E5B">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成果完成人</w:t>
            </w:r>
          </w:p>
        </w:tc>
        <w:tc>
          <w:tcPr>
            <w:tcW w:w="1822" w:type="dxa"/>
            <w:vAlign w:val="center"/>
          </w:tcPr>
          <w:p w14:paraId="72937DC4">
            <w:pPr>
              <w:snapToGrid w:val="0"/>
              <w:spacing w:line="340" w:lineRule="atLeast"/>
              <w:jc w:val="center"/>
              <w:rPr>
                <w:rFonts w:hint="eastAsia" w:ascii="黑体" w:hAnsi="黑体" w:eastAsia="黑体" w:cs="黑体"/>
                <w:sz w:val="24"/>
              </w:rPr>
            </w:pPr>
            <w:r>
              <w:rPr>
                <w:rFonts w:hint="eastAsia" w:ascii="黑体" w:hAnsi="黑体" w:eastAsia="黑体" w:cs="黑体"/>
                <w:sz w:val="24"/>
              </w:rPr>
              <w:t>赋权类型</w:t>
            </w:r>
          </w:p>
        </w:tc>
        <w:tc>
          <w:tcPr>
            <w:tcW w:w="1207" w:type="dxa"/>
            <w:vAlign w:val="center"/>
          </w:tcPr>
          <w:p w14:paraId="1F4CB7B3">
            <w:pPr>
              <w:snapToGrid w:val="0"/>
              <w:spacing w:line="340" w:lineRule="atLeast"/>
              <w:jc w:val="center"/>
              <w:rPr>
                <w:rFonts w:hint="eastAsia" w:ascii="黑体" w:hAnsi="黑体" w:eastAsia="黑体" w:cs="黑体"/>
                <w:sz w:val="24"/>
              </w:rPr>
            </w:pPr>
            <w:r>
              <w:rPr>
                <w:rFonts w:hint="eastAsia" w:ascii="黑体" w:hAnsi="黑体" w:eastAsia="黑体" w:cs="黑体"/>
                <w:sz w:val="24"/>
              </w:rPr>
              <w:t>转化</w:t>
            </w:r>
          </w:p>
          <w:p w14:paraId="5D300C4B">
            <w:pPr>
              <w:snapToGrid w:val="0"/>
              <w:spacing w:line="340" w:lineRule="atLeast"/>
              <w:jc w:val="center"/>
              <w:rPr>
                <w:rFonts w:hint="eastAsia" w:ascii="黑体" w:hAnsi="黑体" w:eastAsia="黑体" w:cs="黑体"/>
                <w:sz w:val="24"/>
              </w:rPr>
            </w:pPr>
            <w:r>
              <w:rPr>
                <w:rFonts w:hint="eastAsia" w:ascii="黑体" w:hAnsi="黑体" w:eastAsia="黑体" w:cs="黑体"/>
                <w:sz w:val="24"/>
              </w:rPr>
              <w:t>方式</w:t>
            </w:r>
          </w:p>
        </w:tc>
        <w:tc>
          <w:tcPr>
            <w:tcW w:w="1371" w:type="dxa"/>
            <w:vAlign w:val="center"/>
          </w:tcPr>
          <w:p w14:paraId="175470EA">
            <w:pPr>
              <w:snapToGrid w:val="0"/>
              <w:spacing w:line="340" w:lineRule="atLeast"/>
              <w:jc w:val="center"/>
              <w:rPr>
                <w:rFonts w:hint="eastAsia" w:ascii="黑体" w:hAnsi="黑体" w:eastAsia="黑体" w:cs="黑体"/>
                <w:sz w:val="24"/>
              </w:rPr>
            </w:pPr>
            <w:r>
              <w:rPr>
                <w:rFonts w:hint="eastAsia" w:ascii="黑体" w:hAnsi="黑体" w:eastAsia="黑体" w:cs="黑体"/>
                <w:sz w:val="24"/>
              </w:rPr>
              <w:t>交易金额（万元）</w:t>
            </w:r>
          </w:p>
        </w:tc>
        <w:tc>
          <w:tcPr>
            <w:tcW w:w="1285" w:type="dxa"/>
            <w:vAlign w:val="center"/>
          </w:tcPr>
          <w:p w14:paraId="1D7C886B">
            <w:pPr>
              <w:snapToGrid w:val="0"/>
              <w:spacing w:line="340" w:lineRule="atLeast"/>
              <w:jc w:val="center"/>
              <w:rPr>
                <w:rFonts w:hint="eastAsia" w:ascii="黑体" w:hAnsi="黑体" w:eastAsia="黑体" w:cs="黑体"/>
                <w:sz w:val="24"/>
              </w:rPr>
            </w:pPr>
            <w:r>
              <w:rPr>
                <w:rFonts w:hint="eastAsia" w:ascii="黑体" w:hAnsi="黑体" w:eastAsia="黑体" w:cs="黑体"/>
                <w:sz w:val="24"/>
              </w:rPr>
              <w:t>受让方</w:t>
            </w:r>
          </w:p>
        </w:tc>
        <w:tc>
          <w:tcPr>
            <w:tcW w:w="786" w:type="dxa"/>
            <w:vAlign w:val="center"/>
          </w:tcPr>
          <w:p w14:paraId="4D8A2851">
            <w:pPr>
              <w:snapToGrid w:val="0"/>
              <w:spacing w:line="340" w:lineRule="atLeast"/>
              <w:jc w:val="center"/>
              <w:rPr>
                <w:rFonts w:hint="eastAsia" w:ascii="黑体" w:hAnsi="黑体" w:eastAsia="黑体" w:cs="黑体"/>
                <w:sz w:val="24"/>
              </w:rPr>
            </w:pPr>
            <w:r>
              <w:rPr>
                <w:rFonts w:hint="eastAsia" w:ascii="黑体" w:hAnsi="黑体" w:eastAsia="黑体" w:cs="黑体"/>
                <w:sz w:val="24"/>
              </w:rPr>
              <w:t>备注</w:t>
            </w:r>
          </w:p>
        </w:tc>
      </w:tr>
      <w:tr w14:paraId="24FB1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641BB7F5">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w:t>
            </w:r>
          </w:p>
        </w:tc>
        <w:tc>
          <w:tcPr>
            <w:tcW w:w="2145" w:type="dxa"/>
            <w:vAlign w:val="center"/>
          </w:tcPr>
          <w:p w14:paraId="166D1417">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基于PCA-MF-WNN的网络安全态势要素提取方法及系统</w:t>
            </w:r>
          </w:p>
        </w:tc>
        <w:tc>
          <w:tcPr>
            <w:tcW w:w="3260" w:type="dxa"/>
            <w:vAlign w:val="center"/>
          </w:tcPr>
          <w:p w14:paraId="71A860E9">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本发明涉及一种基于PCA-MF-WNN的网络安全态势要素提取方法及系统,对初始数据通过主成分分析法进行降维,去除冗余的态势要素,属性约简,在降低数据复杂度的同时尽可能的用少数几个主成分来保留原始数据集的信息,训练加入动量因子的小波神经网络,通过加入动量因子的方法来提升小波神经网络的学习效率,将经过主成分分析法降维后的数据输入改进的小波神经网络中进行分类训练,得到态势要素提取模型。对小波神经网络的参数进行修正,可提高小波分类器的分类精度与分类效率。因此在利用态势要素提取模型进行网络安全态势要素提取时,能够提高态势要素提取的分类精度,而且也进一步提高了分类效率。</w:t>
            </w:r>
          </w:p>
        </w:tc>
        <w:tc>
          <w:tcPr>
            <w:tcW w:w="1417" w:type="dxa"/>
            <w:vAlign w:val="center"/>
          </w:tcPr>
          <w:p w14:paraId="639AD17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张然、潘芷涵、甘勇、尹毅峰、王一帆</w:t>
            </w:r>
          </w:p>
        </w:tc>
        <w:tc>
          <w:tcPr>
            <w:tcW w:w="1822" w:type="dxa"/>
            <w:vMerge w:val="restart"/>
            <w:vAlign w:val="center"/>
          </w:tcPr>
          <w:p w14:paraId="4561AD33">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长期使用权（10年）</w:t>
            </w:r>
          </w:p>
        </w:tc>
        <w:tc>
          <w:tcPr>
            <w:tcW w:w="1207" w:type="dxa"/>
            <w:vMerge w:val="restart"/>
            <w:vAlign w:val="center"/>
          </w:tcPr>
          <w:p w14:paraId="4F3E4C8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技术许可</w:t>
            </w:r>
          </w:p>
          <w:p w14:paraId="23879189">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tc>
        <w:tc>
          <w:tcPr>
            <w:tcW w:w="1371" w:type="dxa"/>
            <w:vMerge w:val="restart"/>
            <w:vAlign w:val="center"/>
          </w:tcPr>
          <w:p w14:paraId="22E6F309">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24</w:t>
            </w:r>
          </w:p>
        </w:tc>
        <w:tc>
          <w:tcPr>
            <w:tcW w:w="1285" w:type="dxa"/>
            <w:vMerge w:val="restart"/>
            <w:vAlign w:val="center"/>
          </w:tcPr>
          <w:p w14:paraId="110677F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新乡君和科技有限公司</w:t>
            </w:r>
          </w:p>
        </w:tc>
        <w:tc>
          <w:tcPr>
            <w:tcW w:w="786" w:type="dxa"/>
            <w:vAlign w:val="center"/>
          </w:tcPr>
          <w:p w14:paraId="4033F998">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tc>
      </w:tr>
      <w:tr w14:paraId="4D190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0226844">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w:t>
            </w:r>
          </w:p>
        </w:tc>
        <w:tc>
          <w:tcPr>
            <w:tcW w:w="2145" w:type="dxa"/>
            <w:vAlign w:val="center"/>
          </w:tcPr>
          <w:p w14:paraId="5306DDDB">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一种基于改进WOA-SVM的网络安全态势评估方法</w:t>
            </w:r>
          </w:p>
        </w:tc>
        <w:tc>
          <w:tcPr>
            <w:tcW w:w="3260" w:type="dxa"/>
            <w:vAlign w:val="center"/>
          </w:tcPr>
          <w:p w14:paraId="4979FCA4">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本发明提出了一种基于改进WOA-SVM的网络安全态势评估方法,其步骤为：以现有的网络安全数据组成样本集；初始化WOA算法和SA算法；选择螺旋捕食或随机搜索猎物,利用自适应权重法更新WOA算法中的当前鲸鱼位置,更新当前的鲸鱼最优位置和全局最优位置；根据SA算法的突跳概率判断是否接受新的鲸鱼位置；判断是否满足迭代的终止条件；将得到的全局最优位置的值赋值给SVM,利用回归拟合分析最佳的参数进行SVM网络训练,将评估值转化为网络安全等级。本发明利用WOA的全局寻优特性寻找SVM的最优参数,利用自适应权重调整鲸鱼位置更新系数,并采用SA算法增加随机搜索因素,避免陷入局部极值,以改善全局寻优能力。</w:t>
            </w:r>
          </w:p>
        </w:tc>
        <w:tc>
          <w:tcPr>
            <w:tcW w:w="1417" w:type="dxa"/>
            <w:vAlign w:val="center"/>
          </w:tcPr>
          <w:p w14:paraId="67DDF08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张然、刘敏、胡颖、刘洋、潘芷涵、蔡增玉、张启坤、甘勇</w:t>
            </w:r>
          </w:p>
        </w:tc>
        <w:tc>
          <w:tcPr>
            <w:tcW w:w="1822" w:type="dxa"/>
            <w:vMerge w:val="continue"/>
            <w:vAlign w:val="center"/>
          </w:tcPr>
          <w:p w14:paraId="48603EEF">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tc>
        <w:tc>
          <w:tcPr>
            <w:tcW w:w="1207" w:type="dxa"/>
            <w:vMerge w:val="continue"/>
            <w:vAlign w:val="center"/>
          </w:tcPr>
          <w:p w14:paraId="2F5B27E6">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tc>
        <w:tc>
          <w:tcPr>
            <w:tcW w:w="1371" w:type="dxa"/>
            <w:vMerge w:val="continue"/>
            <w:vAlign w:val="center"/>
          </w:tcPr>
          <w:p w14:paraId="57166A8F">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tc>
        <w:tc>
          <w:tcPr>
            <w:tcW w:w="1285" w:type="dxa"/>
            <w:vMerge w:val="continue"/>
            <w:vAlign w:val="center"/>
          </w:tcPr>
          <w:p w14:paraId="1202DF25">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tc>
        <w:tc>
          <w:tcPr>
            <w:tcW w:w="786" w:type="dxa"/>
            <w:vAlign w:val="center"/>
          </w:tcPr>
          <w:p w14:paraId="13375733">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tc>
      </w:tr>
      <w:tr w14:paraId="69705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3544655">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w:t>
            </w:r>
          </w:p>
        </w:tc>
        <w:tc>
          <w:tcPr>
            <w:tcW w:w="2145" w:type="dxa"/>
            <w:shd w:val="clear" w:color="auto" w:fill="auto"/>
            <w:vAlign w:val="center"/>
          </w:tcPr>
          <w:p w14:paraId="631B16C6">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1.基于双目机器视觉的齿轮径向圆跳动测量仿真软件V1.0，2.基于双目机器视觉的齿轮径向圆跳动测量软件V1.0，3.面向增材制造的在线铺粉缺陷检测的机器视觉系统研究软件V1.0，4.</w:t>
            </w:r>
            <w:r>
              <w:rPr>
                <w:rFonts w:hint="eastAsia" w:ascii="仿宋" w:hAnsi="仿宋" w:eastAsia="仿宋" w:cs="仿宋"/>
                <w:sz w:val="21"/>
                <w:szCs w:val="21"/>
                <w:lang w:val="en-US" w:eastAsia="zh-CN"/>
              </w:rPr>
              <w:fldChar w:fldCharType="begin"/>
            </w:r>
            <w:r>
              <w:rPr>
                <w:rFonts w:hint="eastAsia" w:ascii="仿宋" w:hAnsi="仿宋" w:eastAsia="仿宋" w:cs="仿宋"/>
                <w:sz w:val="21"/>
                <w:szCs w:val="21"/>
                <w:lang w:val="en-US" w:eastAsia="zh-CN"/>
              </w:rPr>
              <w:instrText xml:space="preserve"> HYPERLINK "http://kyglxt.zzuli.edu.cn/Achievements/SoftWare/SoftWare_Add.aspx?Action=View&amp;Id=8134" \t "http://kyglxt.zzuli.edu.cn/Achievements/SoftWare/_blank" </w:instrText>
            </w:r>
            <w:r>
              <w:rPr>
                <w:rFonts w:hint="eastAsia" w:ascii="仿宋" w:hAnsi="仿宋" w:eastAsia="仿宋" w:cs="仿宋"/>
                <w:sz w:val="21"/>
                <w:szCs w:val="21"/>
                <w:lang w:val="en-US" w:eastAsia="zh-CN"/>
              </w:rPr>
              <w:fldChar w:fldCharType="separate"/>
            </w:r>
            <w:r>
              <w:rPr>
                <w:rFonts w:hint="eastAsia" w:ascii="仿宋" w:hAnsi="仿宋" w:eastAsia="仿宋" w:cs="仿宋"/>
                <w:sz w:val="21"/>
                <w:szCs w:val="21"/>
                <w:lang w:val="en-US" w:eastAsia="zh-CN"/>
              </w:rPr>
              <w:t>基于数字化集成设计的电力系统设计流程再造研究系统</w:t>
            </w:r>
            <w:r>
              <w:rPr>
                <w:rFonts w:hint="eastAsia" w:ascii="仿宋" w:hAnsi="仿宋" w:eastAsia="仿宋" w:cs="仿宋"/>
                <w:sz w:val="21"/>
                <w:szCs w:val="21"/>
                <w:lang w:val="en-US" w:eastAsia="zh-CN"/>
              </w:rPr>
              <w:fldChar w:fldCharType="end"/>
            </w:r>
            <w:r>
              <w:rPr>
                <w:rFonts w:hint="eastAsia" w:ascii="仿宋" w:hAnsi="仿宋" w:eastAsia="仿宋" w:cs="仿宋"/>
                <w:sz w:val="21"/>
                <w:szCs w:val="21"/>
                <w:lang w:val="en-US" w:eastAsia="zh-CN"/>
              </w:rPr>
              <w:t>V1.0，5.齿轮在线快速检测系统V1.0，6.齿轮智能在线质量监测系统V1.0</w:t>
            </w:r>
          </w:p>
        </w:tc>
        <w:tc>
          <w:tcPr>
            <w:tcW w:w="3260" w:type="dxa"/>
            <w:shd w:val="clear" w:color="auto" w:fill="auto"/>
            <w:vAlign w:val="center"/>
          </w:tcPr>
          <w:p w14:paraId="2145995A">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六项成果聚焦先进制造业、工业检测与电力设计升级。先进制造领域领域，两款双目机器视觉测量软件（含仿真版）实现径向圆跳动高精度检测，搭配在线快速检测、智能质量监测系统，构建全流程质量管控；增材制造软件借机器视觉在线识别铺粉缺陷；电力系统软件通过数字化集成设计再造流程。转化前景广阔，可满足机械制造、增材制造、电力等行业高质量发展需求，提升企业生产效率与产品质量，具备良好市场应用潜力。</w:t>
            </w:r>
          </w:p>
        </w:tc>
        <w:tc>
          <w:tcPr>
            <w:tcW w:w="1417" w:type="dxa"/>
            <w:shd w:val="clear" w:color="auto" w:fill="auto"/>
            <w:vAlign w:val="center"/>
          </w:tcPr>
          <w:p w14:paraId="6563AF0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张德海</w:t>
            </w:r>
          </w:p>
          <w:p w14:paraId="64F0B772">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李艳芹</w:t>
            </w:r>
          </w:p>
          <w:p w14:paraId="749C4645">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王胜永</w:t>
            </w:r>
          </w:p>
        </w:tc>
        <w:tc>
          <w:tcPr>
            <w:tcW w:w="1822" w:type="dxa"/>
            <w:shd w:val="clear" w:color="auto" w:fill="auto"/>
            <w:vAlign w:val="center"/>
          </w:tcPr>
          <w:p w14:paraId="7FE3940F">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所有权（学校10%，完成人团队90%）</w:t>
            </w:r>
          </w:p>
        </w:tc>
        <w:tc>
          <w:tcPr>
            <w:tcW w:w="1207" w:type="dxa"/>
            <w:shd w:val="clear" w:color="auto" w:fill="auto"/>
            <w:vAlign w:val="center"/>
          </w:tcPr>
          <w:p w14:paraId="58B3F0D8">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技术转让</w:t>
            </w:r>
          </w:p>
        </w:tc>
        <w:tc>
          <w:tcPr>
            <w:tcW w:w="1371" w:type="dxa"/>
            <w:shd w:val="clear" w:color="auto" w:fill="auto"/>
            <w:vAlign w:val="center"/>
          </w:tcPr>
          <w:p w14:paraId="0A2B6FCE">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30</w:t>
            </w:r>
          </w:p>
        </w:tc>
        <w:tc>
          <w:tcPr>
            <w:tcW w:w="1285" w:type="dxa"/>
            <w:shd w:val="clear" w:color="auto" w:fill="auto"/>
            <w:vAlign w:val="center"/>
          </w:tcPr>
          <w:p w14:paraId="3F6CE37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黎明重工股份有限公司</w:t>
            </w:r>
          </w:p>
        </w:tc>
        <w:tc>
          <w:tcPr>
            <w:tcW w:w="786" w:type="dxa"/>
            <w:vAlign w:val="center"/>
          </w:tcPr>
          <w:p w14:paraId="4F5E22F8">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tc>
      </w:tr>
      <w:tr w14:paraId="5F22F3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0" w:type="auto"/>
          </w:tcPr>
          <w:p w14:paraId="5359CB78">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099FF891">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0B56D5CF">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0ECB283E">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7A9FEDAB">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5404BF45">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5E9C6F9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3006C571">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7B564355">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7D024283">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3913B98D">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63BC6EC8">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5009ECE6">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4</w:t>
            </w:r>
          </w:p>
        </w:tc>
        <w:tc>
          <w:tcPr>
            <w:tcW w:w="0" w:type="auto"/>
            <w:shd w:val="clear" w:color="auto" w:fill="auto"/>
            <w:vAlign w:val="center"/>
          </w:tcPr>
          <w:p w14:paraId="68AE7017">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一种用于伞齿轮齿顶面精度的光学同轴多环检测法</w:t>
            </w:r>
          </w:p>
        </w:tc>
        <w:tc>
          <w:tcPr>
            <w:tcW w:w="0" w:type="auto"/>
            <w:shd w:val="clear" w:color="auto" w:fill="auto"/>
            <w:vAlign w:val="center"/>
          </w:tcPr>
          <w:p w14:paraId="251AA7DE">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直齿锥齿轮（伞齿轮）凭借高承载与稳定传动等特性，广泛用于矿业、船舶及重型工业设备等领域，其质量的精准测定至关重要。本成果提出一种基于双目视觉、计算机图形学、误差理论及统计计算的伞齿轮齿顶面精度测量法。在该方法中，从齿顶小端至大端等间距建立多个测量圆环，并提取圆环与齿顶边缘线交点坐标，依据 NURBS 曲面理论将这些交点坐标拟合成齿顶面。根据产品使用要求，测量并判定拟合齿顶面与设计面间的表面轮廓误差，若低于给定阈值，则产品合格。经实验，对于模数为 5、精度 8 级的直齿锥齿轮，测得最小表面轮廓误差达- 0.0026mm。这表明该方法可用于测量直齿锥齿轮表面轮廓误差，拓宽了其深度测量领域。​</w:t>
            </w:r>
          </w:p>
          <w:p w14:paraId="468E1D1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tc>
        <w:tc>
          <w:tcPr>
            <w:tcW w:w="0" w:type="auto"/>
            <w:shd w:val="clear" w:color="auto" w:fill="auto"/>
            <w:vAlign w:val="center"/>
          </w:tcPr>
          <w:p w14:paraId="4D341C68">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张德海、  李军恒、 李艳芹、 白代萍、王胜永、祝志逢、 黄子帆、 付亮、 洪登栾、 谷远东</w:t>
            </w:r>
          </w:p>
        </w:tc>
        <w:tc>
          <w:tcPr>
            <w:tcW w:w="0" w:type="auto"/>
            <w:shd w:val="clear" w:color="auto" w:fill="auto"/>
            <w:vAlign w:val="center"/>
          </w:tcPr>
          <w:p w14:paraId="0297D71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长期使用权（10年）</w:t>
            </w:r>
          </w:p>
        </w:tc>
        <w:tc>
          <w:tcPr>
            <w:tcW w:w="0" w:type="auto"/>
            <w:shd w:val="clear" w:color="auto" w:fill="auto"/>
            <w:vAlign w:val="center"/>
          </w:tcPr>
          <w:p w14:paraId="04E8B02A">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技术许可</w:t>
            </w:r>
          </w:p>
        </w:tc>
        <w:tc>
          <w:tcPr>
            <w:tcW w:w="0" w:type="auto"/>
            <w:shd w:val="clear" w:color="auto" w:fill="auto"/>
            <w:vAlign w:val="center"/>
          </w:tcPr>
          <w:p w14:paraId="47E64F2B">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30</w:t>
            </w:r>
          </w:p>
        </w:tc>
        <w:tc>
          <w:tcPr>
            <w:tcW w:w="0" w:type="auto"/>
            <w:shd w:val="clear" w:color="auto" w:fill="auto"/>
            <w:vAlign w:val="center"/>
          </w:tcPr>
          <w:p w14:paraId="4E9EB0F6">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黎明重工股份有限公司</w:t>
            </w:r>
          </w:p>
        </w:tc>
        <w:tc>
          <w:tcPr>
            <w:tcW w:w="0" w:type="auto"/>
          </w:tcPr>
          <w:p w14:paraId="61C3BB58">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tc>
      </w:tr>
      <w:tr w14:paraId="19526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0" w:type="auto"/>
          </w:tcPr>
          <w:p w14:paraId="68CBE6B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1268DBB7">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700238FA">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617E3E82">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1DB3DB27">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38375F27">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5</w:t>
            </w:r>
          </w:p>
        </w:tc>
        <w:tc>
          <w:tcPr>
            <w:tcW w:w="0" w:type="auto"/>
            <w:shd w:val="clear" w:color="auto" w:fill="auto"/>
            <w:vAlign w:val="center"/>
          </w:tcPr>
          <w:p w14:paraId="4240A6B7">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一种背接触钙钛矿太阳能电池及其制备方法</w:t>
            </w:r>
          </w:p>
        </w:tc>
        <w:tc>
          <w:tcPr>
            <w:tcW w:w="0" w:type="auto"/>
            <w:shd w:val="clear" w:color="auto" w:fill="auto"/>
            <w:vAlign w:val="center"/>
          </w:tcPr>
          <w:p w14:paraId="00967052">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本发明提出了一种背接触钙钛矿太阳能电池及其制备方法，所述太阳能电池包括衬底，衬底的上侧交替间隔设置有正电极和负电极，正电极的上侧设置有空穴传输层，负电极的上侧设置有电子传输层，空穴传输层和电子传输层的上侧设置有钙钛矿层，钙钛矿层的上侧设置有封装胶层，封装胶层的上侧设置有透明盖板。</w:t>
            </w:r>
          </w:p>
        </w:tc>
        <w:tc>
          <w:tcPr>
            <w:tcW w:w="0" w:type="auto"/>
            <w:shd w:val="clear" w:color="auto" w:fill="auto"/>
            <w:vAlign w:val="center"/>
          </w:tcPr>
          <w:p w14:paraId="388BDC8B">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李森;王海燕;杨鹏;程学瑞;翟玉生;杨坤;张志峰</w:t>
            </w:r>
          </w:p>
        </w:tc>
        <w:tc>
          <w:tcPr>
            <w:tcW w:w="0" w:type="auto"/>
            <w:shd w:val="clear" w:color="auto" w:fill="auto"/>
            <w:vAlign w:val="center"/>
          </w:tcPr>
          <w:p w14:paraId="457E4C0A">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长期使用权（10年）</w:t>
            </w:r>
          </w:p>
        </w:tc>
        <w:tc>
          <w:tcPr>
            <w:tcW w:w="0" w:type="auto"/>
            <w:shd w:val="clear" w:color="auto" w:fill="auto"/>
            <w:vAlign w:val="center"/>
          </w:tcPr>
          <w:p w14:paraId="5C63CC3E">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技术许可</w:t>
            </w:r>
          </w:p>
        </w:tc>
        <w:tc>
          <w:tcPr>
            <w:tcW w:w="0" w:type="auto"/>
            <w:shd w:val="clear" w:color="auto" w:fill="auto"/>
            <w:vAlign w:val="center"/>
          </w:tcPr>
          <w:p w14:paraId="3B4A13B5">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3.2</w:t>
            </w:r>
          </w:p>
        </w:tc>
        <w:tc>
          <w:tcPr>
            <w:tcW w:w="0" w:type="auto"/>
            <w:shd w:val="clear" w:color="auto" w:fill="auto"/>
            <w:vAlign w:val="center"/>
          </w:tcPr>
          <w:p w14:paraId="68E4D633">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华胜微（江阴）半导体有限公司</w:t>
            </w:r>
          </w:p>
        </w:tc>
        <w:tc>
          <w:tcPr>
            <w:tcW w:w="0" w:type="auto"/>
          </w:tcPr>
          <w:p w14:paraId="79B606B2">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tc>
      </w:tr>
      <w:tr w14:paraId="07806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0" w:type="auto"/>
          </w:tcPr>
          <w:p w14:paraId="2190201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44D620D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096C2D65">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44B11FE1">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6</w:t>
            </w:r>
          </w:p>
        </w:tc>
        <w:tc>
          <w:tcPr>
            <w:tcW w:w="0" w:type="auto"/>
            <w:shd w:val="clear" w:color="auto" w:fill="auto"/>
            <w:vAlign w:val="center"/>
          </w:tcPr>
          <w:p w14:paraId="65709D76">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网络环境下大规模图像与视频数据高效处理的方法</w:t>
            </w:r>
          </w:p>
        </w:tc>
        <w:tc>
          <w:tcPr>
            <w:tcW w:w="0" w:type="auto"/>
            <w:shd w:val="clear" w:color="auto" w:fill="auto"/>
            <w:vAlign w:val="center"/>
          </w:tcPr>
          <w:p w14:paraId="622D66A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给出了大规模图像与视频的去冗</w:t>
            </w:r>
            <w:bookmarkStart w:id="0" w:name="_GoBack"/>
            <w:bookmarkEnd w:id="0"/>
            <w:r>
              <w:rPr>
                <w:rFonts w:hint="eastAsia" w:ascii="仿宋" w:hAnsi="仿宋" w:eastAsia="仿宋" w:cs="仿宋"/>
                <w:sz w:val="21"/>
                <w:szCs w:val="21"/>
                <w:lang w:val="en-US" w:eastAsia="zh-CN"/>
              </w:rPr>
              <w:t>余、编码与压缩方法</w:t>
            </w:r>
          </w:p>
        </w:tc>
        <w:tc>
          <w:tcPr>
            <w:tcW w:w="0" w:type="auto"/>
            <w:shd w:val="clear" w:color="auto" w:fill="auto"/>
            <w:vAlign w:val="center"/>
          </w:tcPr>
          <w:p w14:paraId="0C9E5736">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吴青娥；马欢；陈志武；王宏；丁莉芬；何燕；郑安平；齐汝宾；郑晓婉；陈青华；方洁</w:t>
            </w:r>
          </w:p>
        </w:tc>
        <w:tc>
          <w:tcPr>
            <w:tcW w:w="0" w:type="auto"/>
            <w:shd w:val="clear" w:color="auto" w:fill="auto"/>
            <w:vAlign w:val="center"/>
          </w:tcPr>
          <w:p w14:paraId="0C1D6C35">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所有权（学校10%，完成人团队90%）</w:t>
            </w:r>
          </w:p>
        </w:tc>
        <w:tc>
          <w:tcPr>
            <w:tcW w:w="0" w:type="auto"/>
            <w:shd w:val="clear" w:color="auto" w:fill="auto"/>
            <w:vAlign w:val="center"/>
          </w:tcPr>
          <w:p w14:paraId="7C61F57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4F958BF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技术转让</w:t>
            </w:r>
          </w:p>
          <w:p w14:paraId="7B3D2ED1">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tc>
        <w:tc>
          <w:tcPr>
            <w:tcW w:w="0" w:type="auto"/>
            <w:shd w:val="clear" w:color="auto" w:fill="auto"/>
            <w:vAlign w:val="center"/>
          </w:tcPr>
          <w:p w14:paraId="032204AE">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w:t>
            </w:r>
          </w:p>
        </w:tc>
        <w:tc>
          <w:tcPr>
            <w:tcW w:w="0" w:type="auto"/>
            <w:shd w:val="clear" w:color="auto" w:fill="auto"/>
            <w:vAlign w:val="center"/>
          </w:tcPr>
          <w:p w14:paraId="3007F443">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宁波鲸闪信息科技有限公司</w:t>
            </w:r>
          </w:p>
        </w:tc>
        <w:tc>
          <w:tcPr>
            <w:tcW w:w="0" w:type="auto"/>
          </w:tcPr>
          <w:p w14:paraId="5FEE52D9">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tc>
      </w:tr>
    </w:tbl>
    <w:p w14:paraId="5148511A">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z w:val="21"/>
          <w:szCs w:val="21"/>
          <w:lang w:val="en-US" w:eastAsia="zh-CN"/>
        </w:rPr>
      </w:pPr>
    </w:p>
    <w:p w14:paraId="64C9ACC9"/>
    <w:p w14:paraId="27F67768"/>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WQ1ZmM5M2NiYzViNjc4ZWU1ODNmMjFmYjE5YjlkNzIifQ=="/>
  </w:docVars>
  <w:rsids>
    <w:rsidRoot w:val="1308507D"/>
    <w:rsid w:val="0010198E"/>
    <w:rsid w:val="002D53F1"/>
    <w:rsid w:val="00441D71"/>
    <w:rsid w:val="004A6A15"/>
    <w:rsid w:val="0057339B"/>
    <w:rsid w:val="00677A76"/>
    <w:rsid w:val="00683B6A"/>
    <w:rsid w:val="006D52B0"/>
    <w:rsid w:val="00742B6B"/>
    <w:rsid w:val="007856ED"/>
    <w:rsid w:val="007A76F7"/>
    <w:rsid w:val="0095389D"/>
    <w:rsid w:val="00982E0E"/>
    <w:rsid w:val="00B57074"/>
    <w:rsid w:val="00D8447B"/>
    <w:rsid w:val="00EE0462"/>
    <w:rsid w:val="0D090774"/>
    <w:rsid w:val="0F2B62DD"/>
    <w:rsid w:val="0F345151"/>
    <w:rsid w:val="1308507D"/>
    <w:rsid w:val="415E2C8C"/>
    <w:rsid w:val="50D852D8"/>
    <w:rsid w:val="58406388"/>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iPriority w:val="0"/>
    <w:pPr>
      <w:tabs>
        <w:tab w:val="center" w:pos="4153"/>
        <w:tab w:val="right" w:pos="8306"/>
      </w:tabs>
      <w:snapToGrid w:val="0"/>
      <w:jc w:val="left"/>
    </w:pPr>
    <w:rPr>
      <w:sz w:val="18"/>
      <w:szCs w:val="18"/>
    </w:rPr>
  </w:style>
  <w:style w:type="paragraph" w:styleId="3">
    <w:name w:val="header"/>
    <w:basedOn w:val="1"/>
    <w:link w:val="6"/>
    <w:uiPriority w:val="0"/>
    <w:pPr>
      <w:tabs>
        <w:tab w:val="center" w:pos="4153"/>
        <w:tab w:val="right" w:pos="8306"/>
      </w:tabs>
      <w:snapToGrid w:val="0"/>
      <w:jc w:val="center"/>
    </w:pPr>
    <w:rPr>
      <w:sz w:val="18"/>
      <w:szCs w:val="18"/>
    </w:rPr>
  </w:style>
  <w:style w:type="character" w:customStyle="1" w:styleId="6">
    <w:name w:val="页眉 字符"/>
    <w:basedOn w:val="5"/>
    <w:link w:val="3"/>
    <w:uiPriority w:val="0"/>
    <w:rPr>
      <w:rFonts w:ascii="Calibri" w:hAnsi="Calibri"/>
      <w:kern w:val="2"/>
      <w:sz w:val="18"/>
      <w:szCs w:val="18"/>
    </w:rPr>
  </w:style>
  <w:style w:type="character" w:customStyle="1" w:styleId="7">
    <w:name w:val="页脚 字符"/>
    <w:basedOn w:val="5"/>
    <w:link w:val="2"/>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717</Words>
  <Characters>769</Characters>
  <Lines>65</Lines>
  <Paragraphs>29</Paragraphs>
  <TotalTime>3</TotalTime>
  <ScaleCrop>false</ScaleCrop>
  <LinksUpToDate>false</LinksUpToDate>
  <CharactersWithSpaces>839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2025-10-17T03:34:00Z</dcterms:created>
  <dc:creator>文档存本地丢失不负责</dc:creator>
  <cp:lastModifiedBy>鲍雅如</cp:lastModifiedBy>
  <cp:lastPrinted>2022-07-25T02:39:00Z</cp:lastPrinted>
  <dcterms:modified xsi:type="dcterms:W3CDTF">2025-10-21T07:21:08Z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