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617228">
      <w:pPr>
        <w:jc w:val="center"/>
        <w:rPr>
          <w:rFonts w:hint="eastAsia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b/>
          <w:bCs/>
          <w:sz w:val="28"/>
          <w:szCs w:val="28"/>
        </w:rPr>
        <w:t>202</w:t>
      </w:r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6</w:t>
      </w:r>
      <w:r>
        <w:rPr>
          <w:rFonts w:hint="eastAsia" w:ascii="宋体" w:hAnsi="宋体" w:eastAsia="宋体"/>
          <w:b/>
          <w:bCs/>
          <w:sz w:val="28"/>
          <w:szCs w:val="28"/>
        </w:rPr>
        <w:t>年度省科学技术进步奖公示</w:t>
      </w:r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内容</w:t>
      </w:r>
    </w:p>
    <w:p w14:paraId="7B5A7295">
      <w:pPr>
        <w:rPr>
          <w:rFonts w:hint="eastAsia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sz w:val="28"/>
          <w:szCs w:val="28"/>
        </w:rPr>
        <w:t>项目名称：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高端装备关重件强韧耐磨防护涂层可控制备技术及应用</w:t>
      </w:r>
    </w:p>
    <w:p w14:paraId="4E5BF9E8">
      <w:pPr>
        <w:rPr>
          <w:rFonts w:hint="default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sz w:val="28"/>
          <w:szCs w:val="28"/>
        </w:rPr>
        <w:t>提名者：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河南省教育厅</w:t>
      </w:r>
    </w:p>
    <w:p w14:paraId="56D73DBC">
      <w:pPr>
        <w:rPr>
          <w:rFonts w:hint="default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sz w:val="28"/>
          <w:szCs w:val="28"/>
        </w:rPr>
        <w:t>提名等级：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二等奖</w:t>
      </w:r>
    </w:p>
    <w:p w14:paraId="4B8AFE94">
      <w:pPr>
        <w:jc w:val="left"/>
        <w:rPr>
          <w:rFonts w:hint="eastAsia" w:ascii="宋体" w:hAnsi="宋体" w:eastAsia="宋体"/>
          <w:color w:val="FF0000"/>
          <w:sz w:val="28"/>
          <w:szCs w:val="28"/>
        </w:rPr>
      </w:pPr>
      <w:r>
        <w:rPr>
          <w:rFonts w:hint="eastAsia"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主</w:t>
      </w:r>
      <w:r>
        <w:rPr>
          <w:rFonts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要知识产权和标准规范目录</w:t>
      </w:r>
    </w:p>
    <w:tbl>
      <w:tblPr>
        <w:tblStyle w:val="18"/>
        <w:tblW w:w="901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8"/>
        <w:gridCol w:w="1260"/>
        <w:gridCol w:w="1035"/>
        <w:gridCol w:w="836"/>
        <w:gridCol w:w="992"/>
        <w:gridCol w:w="1134"/>
        <w:gridCol w:w="850"/>
        <w:gridCol w:w="851"/>
        <w:gridCol w:w="965"/>
      </w:tblGrid>
      <w:tr w14:paraId="59C4AE4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088" w:type="dxa"/>
            <w:noWrap/>
            <w:vAlign w:val="center"/>
          </w:tcPr>
          <w:p w14:paraId="41540700">
            <w:pPr>
              <w:pStyle w:val="13"/>
              <w:spacing w:line="390" w:lineRule="exact"/>
              <w:ind w:firstLine="0" w:firstLineChars="0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sz w:val="21"/>
              </w:rPr>
              <w:t>知识产权（标准）类别</w:t>
            </w:r>
          </w:p>
        </w:tc>
        <w:tc>
          <w:tcPr>
            <w:tcW w:w="1260" w:type="dxa"/>
            <w:noWrap/>
            <w:vAlign w:val="center"/>
          </w:tcPr>
          <w:p w14:paraId="2EB667DE">
            <w:pPr>
              <w:pStyle w:val="13"/>
              <w:spacing w:line="390" w:lineRule="exact"/>
              <w:ind w:firstLine="0" w:firstLineChars="0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sz w:val="21"/>
              </w:rPr>
              <w:t>知识产权（标准）具体名称</w:t>
            </w:r>
          </w:p>
        </w:tc>
        <w:tc>
          <w:tcPr>
            <w:tcW w:w="1035" w:type="dxa"/>
            <w:noWrap/>
            <w:vAlign w:val="center"/>
          </w:tcPr>
          <w:p w14:paraId="1533E3C1">
            <w:pPr>
              <w:pStyle w:val="13"/>
              <w:spacing w:line="390" w:lineRule="exact"/>
              <w:ind w:firstLine="0" w:firstLineChars="0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sz w:val="21"/>
              </w:rPr>
              <w:t>国家</w:t>
            </w:r>
          </w:p>
          <w:p w14:paraId="68E7E93A">
            <w:pPr>
              <w:pStyle w:val="13"/>
              <w:spacing w:line="390" w:lineRule="exact"/>
              <w:ind w:firstLine="0" w:firstLineChars="0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sz w:val="21"/>
              </w:rPr>
              <w:t>（地区）</w:t>
            </w:r>
          </w:p>
        </w:tc>
        <w:tc>
          <w:tcPr>
            <w:tcW w:w="836" w:type="dxa"/>
            <w:noWrap/>
            <w:vAlign w:val="center"/>
          </w:tcPr>
          <w:p w14:paraId="47A0C991">
            <w:pPr>
              <w:pStyle w:val="13"/>
              <w:spacing w:line="390" w:lineRule="exact"/>
              <w:ind w:firstLine="0" w:firstLineChars="0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sz w:val="21"/>
              </w:rPr>
              <w:t>授权号（标准编号）</w:t>
            </w:r>
          </w:p>
        </w:tc>
        <w:tc>
          <w:tcPr>
            <w:tcW w:w="992" w:type="dxa"/>
            <w:noWrap/>
            <w:vAlign w:val="center"/>
          </w:tcPr>
          <w:p w14:paraId="49C6C367">
            <w:pPr>
              <w:pStyle w:val="13"/>
              <w:spacing w:line="390" w:lineRule="exact"/>
              <w:ind w:firstLine="0" w:firstLineChars="0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sz w:val="21"/>
              </w:rPr>
              <w:t>授权日期（标准发布日期）</w:t>
            </w:r>
          </w:p>
        </w:tc>
        <w:tc>
          <w:tcPr>
            <w:tcW w:w="1134" w:type="dxa"/>
            <w:noWrap/>
            <w:vAlign w:val="center"/>
          </w:tcPr>
          <w:p w14:paraId="171D5368">
            <w:pPr>
              <w:pStyle w:val="13"/>
              <w:spacing w:line="390" w:lineRule="exact"/>
              <w:ind w:firstLine="0" w:firstLineChars="0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sz w:val="21"/>
              </w:rPr>
              <w:t>证书编号</w:t>
            </w:r>
          </w:p>
          <w:p w14:paraId="0DED8133">
            <w:pPr>
              <w:pStyle w:val="13"/>
              <w:spacing w:line="390" w:lineRule="exact"/>
              <w:ind w:firstLine="0" w:firstLineChars="0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sz w:val="21"/>
              </w:rPr>
              <w:t>（标准批准发布部门）</w:t>
            </w:r>
          </w:p>
        </w:tc>
        <w:tc>
          <w:tcPr>
            <w:tcW w:w="850" w:type="dxa"/>
            <w:noWrap/>
            <w:vAlign w:val="center"/>
          </w:tcPr>
          <w:p w14:paraId="4ACF1536">
            <w:pPr>
              <w:pStyle w:val="13"/>
              <w:spacing w:line="390" w:lineRule="exact"/>
              <w:ind w:firstLine="0" w:firstLineChars="0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sz w:val="21"/>
              </w:rPr>
              <w:t>权利人（标准起草单位）</w:t>
            </w:r>
          </w:p>
        </w:tc>
        <w:tc>
          <w:tcPr>
            <w:tcW w:w="851" w:type="dxa"/>
            <w:noWrap/>
            <w:vAlign w:val="center"/>
          </w:tcPr>
          <w:p w14:paraId="3DF132D9">
            <w:pPr>
              <w:pStyle w:val="13"/>
              <w:spacing w:line="390" w:lineRule="exact"/>
              <w:ind w:firstLine="0" w:firstLineChars="0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sz w:val="21"/>
              </w:rPr>
              <w:t>发明人（标准起草人）</w:t>
            </w:r>
          </w:p>
        </w:tc>
        <w:tc>
          <w:tcPr>
            <w:tcW w:w="965" w:type="dxa"/>
            <w:noWrap/>
            <w:vAlign w:val="center"/>
          </w:tcPr>
          <w:p w14:paraId="2DBA0A8A">
            <w:pPr>
              <w:pStyle w:val="13"/>
              <w:spacing w:line="390" w:lineRule="exact"/>
              <w:ind w:firstLine="0" w:firstLineChars="0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sz w:val="21"/>
              </w:rPr>
              <w:t>专利（标准）有效状态</w:t>
            </w:r>
          </w:p>
        </w:tc>
      </w:tr>
      <w:tr w14:paraId="43BA640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  <w:jc w:val="center"/>
        </w:trPr>
        <w:tc>
          <w:tcPr>
            <w:tcW w:w="1088" w:type="dxa"/>
            <w:noWrap/>
            <w:vAlign w:val="center"/>
          </w:tcPr>
          <w:p w14:paraId="65703871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</w:rPr>
            </w:pPr>
            <w:r>
              <w:rPr>
                <w:rFonts w:hint="eastAsia" w:ascii="Times New Roman"/>
                <w:sz w:val="21"/>
                <w:szCs w:val="21"/>
              </w:rPr>
              <w:t>发明专利</w:t>
            </w:r>
          </w:p>
        </w:tc>
        <w:tc>
          <w:tcPr>
            <w:tcW w:w="1260" w:type="dxa"/>
            <w:noWrap/>
            <w:vAlign w:val="center"/>
          </w:tcPr>
          <w:p w14:paraId="1E99EA8E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</w:rPr>
            </w:pPr>
            <w:r>
              <w:rPr>
                <w:rFonts w:hint="eastAsia" w:ascii="Times New Roman"/>
                <w:sz w:val="21"/>
                <w:szCs w:val="21"/>
              </w:rPr>
              <w:t>Method for preparing functionally graded thermal barrier coatings based on failure modes and the method of preparation</w:t>
            </w:r>
          </w:p>
        </w:tc>
        <w:tc>
          <w:tcPr>
            <w:tcW w:w="1035" w:type="dxa"/>
            <w:noWrap/>
            <w:vAlign w:val="center"/>
          </w:tcPr>
          <w:p w14:paraId="06ACA9F6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</w:rPr>
            </w:pPr>
            <w:r>
              <w:rPr>
                <w:rFonts w:hint="eastAsia" w:ascii="Times New Roman"/>
                <w:sz w:val="21"/>
                <w:szCs w:val="21"/>
              </w:rPr>
              <w:t>欧洲</w:t>
            </w:r>
          </w:p>
        </w:tc>
        <w:tc>
          <w:tcPr>
            <w:tcW w:w="836" w:type="dxa"/>
            <w:noWrap/>
            <w:vAlign w:val="center"/>
          </w:tcPr>
          <w:p w14:paraId="74C949E7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</w:rPr>
            </w:pPr>
            <w:r>
              <w:rPr>
                <w:rFonts w:hint="eastAsia" w:ascii="Times New Roman"/>
                <w:sz w:val="21"/>
                <w:szCs w:val="21"/>
              </w:rPr>
              <w:t>LU506144</w:t>
            </w:r>
          </w:p>
        </w:tc>
        <w:tc>
          <w:tcPr>
            <w:tcW w:w="992" w:type="dxa"/>
            <w:noWrap/>
            <w:vAlign w:val="center"/>
          </w:tcPr>
          <w:p w14:paraId="452F314B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</w:rPr>
            </w:pPr>
            <w:r>
              <w:rPr>
                <w:rFonts w:hint="eastAsia" w:ascii="Times New Roman"/>
                <w:sz w:val="21"/>
                <w:szCs w:val="21"/>
              </w:rPr>
              <w:t>2024-0722</w:t>
            </w:r>
          </w:p>
        </w:tc>
        <w:tc>
          <w:tcPr>
            <w:tcW w:w="1134" w:type="dxa"/>
            <w:noWrap/>
            <w:vAlign w:val="center"/>
          </w:tcPr>
          <w:p w14:paraId="5882D221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</w:rPr>
            </w:pPr>
            <w:r>
              <w:rPr>
                <w:rFonts w:hint="eastAsia" w:ascii="Times New Roman"/>
                <w:sz w:val="21"/>
                <w:szCs w:val="21"/>
              </w:rPr>
              <w:t>IP SHIELD-1616 Luxembourg</w:t>
            </w:r>
          </w:p>
        </w:tc>
        <w:tc>
          <w:tcPr>
            <w:tcW w:w="850" w:type="dxa"/>
            <w:noWrap/>
            <w:vAlign w:val="center"/>
          </w:tcPr>
          <w:p w14:paraId="0869B29E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</w:rPr>
            </w:pPr>
            <w:r>
              <w:rPr>
                <w:rFonts w:hint="eastAsia" w:ascii="Times New Roman"/>
                <w:sz w:val="21"/>
                <w:szCs w:val="21"/>
              </w:rPr>
              <w:t>郑州轻工业大学</w:t>
            </w:r>
          </w:p>
        </w:tc>
        <w:tc>
          <w:tcPr>
            <w:tcW w:w="851" w:type="dxa"/>
            <w:noWrap/>
            <w:vAlign w:val="center"/>
          </w:tcPr>
          <w:p w14:paraId="4A4A6982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</w:rPr>
            </w:pPr>
            <w:r>
              <w:rPr>
                <w:rFonts w:hint="eastAsia" w:ascii="Times New Roman"/>
                <w:b/>
                <w:bCs/>
                <w:sz w:val="21"/>
                <w:szCs w:val="21"/>
              </w:rPr>
              <w:t>刘琨</w:t>
            </w:r>
            <w:r>
              <w:rPr>
                <w:rFonts w:hint="eastAsia" w:ascii="Times New Roman"/>
                <w:sz w:val="21"/>
                <w:szCs w:val="21"/>
              </w:rPr>
              <w:t>, 郭星</w:t>
            </w:r>
          </w:p>
        </w:tc>
        <w:tc>
          <w:tcPr>
            <w:tcW w:w="965" w:type="dxa"/>
            <w:noWrap/>
            <w:vAlign w:val="center"/>
          </w:tcPr>
          <w:p w14:paraId="278341E9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</w:rPr>
            </w:pPr>
            <w:r>
              <w:rPr>
                <w:rFonts w:hint="eastAsia" w:ascii="Times New Roman"/>
                <w:sz w:val="21"/>
                <w:szCs w:val="21"/>
              </w:rPr>
              <w:t>有效</w:t>
            </w:r>
          </w:p>
        </w:tc>
      </w:tr>
      <w:tr w14:paraId="71BD942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1" w:hRule="atLeast"/>
          <w:jc w:val="center"/>
        </w:trPr>
        <w:tc>
          <w:tcPr>
            <w:tcW w:w="1088" w:type="dxa"/>
            <w:shd w:val="clear" w:color="auto" w:fill="auto"/>
            <w:noWrap/>
            <w:vAlign w:val="center"/>
          </w:tcPr>
          <w:p w14:paraId="135CB9BA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宋体" w:cs="Times New Roman"/>
                <w:color w:val="auto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color w:val="auto"/>
                <w:sz w:val="21"/>
                <w:szCs w:val="21"/>
              </w:rPr>
              <w:t>发明专利</w:t>
            </w:r>
          </w:p>
        </w:tc>
        <w:tc>
          <w:tcPr>
            <w:tcW w:w="1260" w:type="dxa"/>
            <w:shd w:val="clear" w:color="auto" w:fill="auto"/>
            <w:noWrap/>
            <w:vAlign w:val="center"/>
          </w:tcPr>
          <w:p w14:paraId="35A53006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宋体" w:cs="Times New Roman"/>
                <w:color w:val="auto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color w:val="auto"/>
                <w:sz w:val="21"/>
                <w:szCs w:val="21"/>
              </w:rPr>
              <w:t>修复粉末、涂层与制备方法、盾构机主驱动密封跑道的修复方法</w:t>
            </w:r>
          </w:p>
        </w:tc>
        <w:tc>
          <w:tcPr>
            <w:tcW w:w="1035" w:type="dxa"/>
            <w:shd w:val="clear" w:color="auto" w:fill="auto"/>
            <w:noWrap/>
            <w:vAlign w:val="center"/>
          </w:tcPr>
          <w:p w14:paraId="08578EBC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/>
                <w:color w:val="auto"/>
                <w:sz w:val="21"/>
                <w:szCs w:val="21"/>
              </w:rPr>
              <w:t>中国</w:t>
            </w:r>
          </w:p>
        </w:tc>
        <w:tc>
          <w:tcPr>
            <w:tcW w:w="836" w:type="dxa"/>
            <w:shd w:val="clear" w:color="auto" w:fill="auto"/>
            <w:noWrap/>
            <w:vAlign w:val="center"/>
          </w:tcPr>
          <w:p w14:paraId="1A9B9ACA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/>
                <w:color w:val="auto"/>
                <w:sz w:val="21"/>
                <w:szCs w:val="21"/>
              </w:rPr>
              <w:t>ZL202210705432.7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4C1FD365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yellow"/>
                <w:lang w:val="en-US" w:eastAsia="zh-CN" w:bidi="ar-SA"/>
              </w:rPr>
            </w:pPr>
            <w:r>
              <w:rPr>
                <w:rFonts w:hint="eastAsia" w:ascii="Times New Roman"/>
                <w:color w:val="auto"/>
                <w:sz w:val="21"/>
                <w:szCs w:val="21"/>
              </w:rPr>
              <w:t>2023-03-24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374C6CC7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/>
                <w:color w:val="auto"/>
                <w:sz w:val="21"/>
                <w:szCs w:val="21"/>
              </w:rPr>
              <w:t>CN115044816B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78DCFA26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/>
                <w:color w:val="auto"/>
                <w:sz w:val="21"/>
                <w:szCs w:val="21"/>
              </w:rPr>
              <w:t>中铁工程装备集团有限公司</w:t>
            </w:r>
          </w:p>
        </w:tc>
        <w:tc>
          <w:tcPr>
            <w:tcW w:w="851" w:type="dxa"/>
            <w:shd w:val="clear" w:color="auto" w:fill="auto"/>
            <w:noWrap/>
            <w:vAlign w:val="center"/>
          </w:tcPr>
          <w:p w14:paraId="205F034D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/>
                <w:b/>
                <w:bCs/>
                <w:sz w:val="21"/>
                <w:szCs w:val="21"/>
              </w:rPr>
              <w:t xml:space="preserve">郭志凯, </w:t>
            </w:r>
            <w:r>
              <w:rPr>
                <w:rFonts w:hint="eastAsia" w:ascii="Times New Roman"/>
                <w:color w:val="auto"/>
                <w:sz w:val="21"/>
                <w:szCs w:val="21"/>
              </w:rPr>
              <w:t>连明洋, 付安琪, 尤培龙, 曹培泽, 王超锋</w:t>
            </w:r>
          </w:p>
        </w:tc>
        <w:tc>
          <w:tcPr>
            <w:tcW w:w="965" w:type="dxa"/>
            <w:shd w:val="clear" w:color="auto" w:fill="auto"/>
            <w:noWrap/>
            <w:vAlign w:val="center"/>
          </w:tcPr>
          <w:p w14:paraId="5EB1B58F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/>
                <w:color w:val="auto"/>
                <w:sz w:val="21"/>
                <w:szCs w:val="21"/>
              </w:rPr>
              <w:t>有效</w:t>
            </w:r>
          </w:p>
        </w:tc>
      </w:tr>
      <w:tr w14:paraId="59BD12E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088" w:type="dxa"/>
            <w:noWrap/>
            <w:vAlign w:val="center"/>
          </w:tcPr>
          <w:p w14:paraId="47A2F551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</w:rPr>
            </w:pPr>
            <w:r>
              <w:rPr>
                <w:rFonts w:hint="eastAsia" w:ascii="Times New Roman"/>
                <w:sz w:val="21"/>
                <w:szCs w:val="21"/>
              </w:rPr>
              <w:t>发明专利</w:t>
            </w:r>
          </w:p>
        </w:tc>
        <w:tc>
          <w:tcPr>
            <w:tcW w:w="1260" w:type="dxa"/>
            <w:noWrap/>
            <w:vAlign w:val="center"/>
          </w:tcPr>
          <w:p w14:paraId="73EE5025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</w:rPr>
            </w:pPr>
            <w:r>
              <w:rPr>
                <w:rFonts w:hint="eastAsia" w:ascii="Times New Roman"/>
                <w:sz w:val="21"/>
                <w:szCs w:val="21"/>
              </w:rPr>
              <w:t>一种含Gd与V的高强度CoCrFeNi高熵合金及其制备方法</w:t>
            </w:r>
          </w:p>
        </w:tc>
        <w:tc>
          <w:tcPr>
            <w:tcW w:w="1035" w:type="dxa"/>
            <w:noWrap/>
            <w:vAlign w:val="center"/>
          </w:tcPr>
          <w:p w14:paraId="401DA5A3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</w:rPr>
            </w:pPr>
            <w:r>
              <w:rPr>
                <w:rFonts w:hint="eastAsia" w:ascii="Times New Roman"/>
                <w:sz w:val="21"/>
                <w:szCs w:val="21"/>
              </w:rPr>
              <w:t>中国</w:t>
            </w:r>
          </w:p>
        </w:tc>
        <w:tc>
          <w:tcPr>
            <w:tcW w:w="836" w:type="dxa"/>
            <w:noWrap/>
            <w:vAlign w:val="center"/>
          </w:tcPr>
          <w:p w14:paraId="7D8E06C8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</w:rPr>
            </w:pPr>
            <w:r>
              <w:rPr>
                <w:rFonts w:hint="eastAsia" w:ascii="Times New Roman"/>
                <w:sz w:val="21"/>
                <w:szCs w:val="21"/>
              </w:rPr>
              <w:t>ZL202410476565.0</w:t>
            </w:r>
          </w:p>
        </w:tc>
        <w:tc>
          <w:tcPr>
            <w:tcW w:w="992" w:type="dxa"/>
            <w:noWrap/>
            <w:vAlign w:val="center"/>
          </w:tcPr>
          <w:p w14:paraId="6AACD847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</w:rPr>
            </w:pPr>
            <w:r>
              <w:rPr>
                <w:rFonts w:hint="eastAsia" w:ascii="Times New Roman"/>
                <w:sz w:val="21"/>
                <w:szCs w:val="21"/>
              </w:rPr>
              <w:t>2025-01-24</w:t>
            </w:r>
          </w:p>
        </w:tc>
        <w:tc>
          <w:tcPr>
            <w:tcW w:w="1134" w:type="dxa"/>
            <w:noWrap/>
            <w:vAlign w:val="center"/>
          </w:tcPr>
          <w:p w14:paraId="37BAFE63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</w:rPr>
            </w:pPr>
            <w:r>
              <w:rPr>
                <w:rFonts w:hint="eastAsia" w:ascii="Times New Roman"/>
                <w:sz w:val="21"/>
                <w:szCs w:val="21"/>
              </w:rPr>
              <w:t>CN118374723B</w:t>
            </w:r>
          </w:p>
        </w:tc>
        <w:tc>
          <w:tcPr>
            <w:tcW w:w="850" w:type="dxa"/>
            <w:noWrap/>
            <w:vAlign w:val="center"/>
          </w:tcPr>
          <w:p w14:paraId="4344D929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</w:rPr>
            </w:pPr>
            <w:r>
              <w:rPr>
                <w:rFonts w:hint="eastAsia" w:ascii="Times New Roman"/>
                <w:sz w:val="21"/>
                <w:szCs w:val="21"/>
              </w:rPr>
              <w:t>哈尔滨理工大学</w:t>
            </w:r>
          </w:p>
        </w:tc>
        <w:tc>
          <w:tcPr>
            <w:tcW w:w="851" w:type="dxa"/>
            <w:noWrap/>
            <w:vAlign w:val="center"/>
          </w:tcPr>
          <w:p w14:paraId="5B506409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</w:rPr>
            </w:pPr>
            <w:r>
              <w:rPr>
                <w:rFonts w:hint="eastAsia" w:ascii="Times New Roman"/>
                <w:b/>
                <w:bCs/>
                <w:sz w:val="21"/>
                <w:szCs w:val="21"/>
              </w:rPr>
              <w:t xml:space="preserve">汪恩浩, </w:t>
            </w:r>
            <w:r>
              <w:rPr>
                <w:rFonts w:hint="eastAsia" w:ascii="Times New Roman"/>
                <w:sz w:val="21"/>
                <w:szCs w:val="21"/>
              </w:rPr>
              <w:t xml:space="preserve">董建林, 康福伟, 李嘉琪, 刘哲豪, </w:t>
            </w:r>
            <w:r>
              <w:rPr>
                <w:rFonts w:hint="eastAsia" w:ascii="Times New Roman"/>
                <w:b/>
                <w:bCs/>
                <w:sz w:val="21"/>
                <w:szCs w:val="21"/>
              </w:rPr>
              <w:t xml:space="preserve">曹阳, </w:t>
            </w:r>
            <w:r>
              <w:rPr>
                <w:rFonts w:hint="eastAsia" w:ascii="Times New Roman"/>
                <w:sz w:val="21"/>
                <w:szCs w:val="21"/>
              </w:rPr>
              <w:t>吕立松</w:t>
            </w:r>
          </w:p>
        </w:tc>
        <w:tc>
          <w:tcPr>
            <w:tcW w:w="965" w:type="dxa"/>
            <w:noWrap/>
            <w:vAlign w:val="center"/>
          </w:tcPr>
          <w:p w14:paraId="76E8B293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</w:rPr>
            </w:pPr>
            <w:r>
              <w:rPr>
                <w:rFonts w:hint="eastAsia" w:ascii="Times New Roman"/>
                <w:sz w:val="21"/>
                <w:szCs w:val="21"/>
              </w:rPr>
              <w:t>有效</w:t>
            </w:r>
          </w:p>
        </w:tc>
      </w:tr>
      <w:tr w14:paraId="3E438F4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  <w:jc w:val="center"/>
        </w:trPr>
        <w:tc>
          <w:tcPr>
            <w:tcW w:w="1088" w:type="dxa"/>
            <w:noWrap/>
            <w:vAlign w:val="center"/>
          </w:tcPr>
          <w:p w14:paraId="6BB4016E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</w:rPr>
            </w:pPr>
            <w:r>
              <w:rPr>
                <w:rFonts w:hint="eastAsia" w:ascii="Times New Roman"/>
                <w:sz w:val="21"/>
                <w:szCs w:val="21"/>
              </w:rPr>
              <w:t>发明专利</w:t>
            </w:r>
          </w:p>
        </w:tc>
        <w:tc>
          <w:tcPr>
            <w:tcW w:w="1260" w:type="dxa"/>
            <w:noWrap/>
            <w:vAlign w:val="center"/>
          </w:tcPr>
          <w:p w14:paraId="04A82472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一种</w:t>
            </w:r>
            <w:r>
              <w:rPr>
                <w:rFonts w:hint="eastAsia" w:ascii="Times New Roman"/>
                <w:sz w:val="21"/>
                <w:szCs w:val="21"/>
                <w:highlight w:val="none"/>
                <w:lang w:val="en-US" w:eastAsia="zh-CN"/>
              </w:rPr>
              <w:t>含稀土Y的高强度耐高温TiZrNbHfTaW系难熔高熵合金及其制备方法</w:t>
            </w:r>
          </w:p>
        </w:tc>
        <w:tc>
          <w:tcPr>
            <w:tcW w:w="1035" w:type="dxa"/>
            <w:noWrap/>
            <w:vAlign w:val="center"/>
          </w:tcPr>
          <w:p w14:paraId="1AAF4F93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中国</w:t>
            </w:r>
          </w:p>
        </w:tc>
        <w:tc>
          <w:tcPr>
            <w:tcW w:w="836" w:type="dxa"/>
            <w:noWrap/>
            <w:vAlign w:val="center"/>
          </w:tcPr>
          <w:p w14:paraId="2FCA8887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hint="default" w:ascii="Times New Roman" w:eastAsiaTheme="minorEastAsia"/>
                <w:highlight w:val="none"/>
                <w:lang w:val="en-US" w:eastAsia="zh-CN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ZL</w:t>
            </w:r>
            <w:r>
              <w:rPr>
                <w:rFonts w:hint="eastAsia" w:ascii="Times New Roman"/>
                <w:sz w:val="21"/>
                <w:szCs w:val="21"/>
                <w:highlight w:val="none"/>
                <w:lang w:val="en-US" w:eastAsia="zh-CN"/>
              </w:rPr>
              <w:t>202410715860.7</w:t>
            </w:r>
          </w:p>
        </w:tc>
        <w:tc>
          <w:tcPr>
            <w:tcW w:w="992" w:type="dxa"/>
            <w:noWrap/>
            <w:vAlign w:val="center"/>
          </w:tcPr>
          <w:p w14:paraId="7DD381DF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hint="default" w:ascii="Times New Roman" w:eastAsiaTheme="minorEastAsia"/>
                <w:highlight w:val="none"/>
                <w:lang w:val="en-US" w:eastAsia="zh-CN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202</w:t>
            </w:r>
            <w:r>
              <w:rPr>
                <w:rFonts w:hint="eastAsia" w:ascii="Times New Roman"/>
                <w:sz w:val="21"/>
                <w:szCs w:val="21"/>
                <w:highlight w:val="none"/>
                <w:lang w:val="en-US" w:eastAsia="zh-CN"/>
              </w:rPr>
              <w:t>5</w:t>
            </w:r>
            <w:r>
              <w:rPr>
                <w:rFonts w:hint="eastAsia" w:ascii="Times New Roman"/>
                <w:sz w:val="21"/>
                <w:szCs w:val="21"/>
                <w:highlight w:val="none"/>
              </w:rPr>
              <w:t>-0</w:t>
            </w:r>
            <w:r>
              <w:rPr>
                <w:rFonts w:hint="eastAsia" w:ascii="Times New Roman"/>
                <w:sz w:val="21"/>
                <w:szCs w:val="21"/>
                <w:highlight w:val="none"/>
                <w:lang w:val="en-US" w:eastAsia="zh-CN"/>
              </w:rPr>
              <w:t>4</w:t>
            </w:r>
            <w:r>
              <w:rPr>
                <w:rFonts w:hint="eastAsia" w:ascii="Times New Roman"/>
                <w:sz w:val="21"/>
                <w:szCs w:val="21"/>
                <w:highlight w:val="none"/>
              </w:rPr>
              <w:t>-</w:t>
            </w:r>
            <w:r>
              <w:rPr>
                <w:rFonts w:hint="eastAsia" w:ascii="Times New Roman"/>
                <w:sz w:val="21"/>
                <w:szCs w:val="21"/>
                <w:highlight w:val="none"/>
                <w:lang w:val="en-US" w:eastAsia="zh-CN"/>
              </w:rPr>
              <w:t>04</w:t>
            </w:r>
          </w:p>
        </w:tc>
        <w:tc>
          <w:tcPr>
            <w:tcW w:w="1134" w:type="dxa"/>
            <w:noWrap/>
            <w:vAlign w:val="center"/>
          </w:tcPr>
          <w:p w14:paraId="2AB199D6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hint="default" w:ascii="Times New Roman" w:eastAsiaTheme="minorEastAsia"/>
                <w:highlight w:val="none"/>
                <w:lang w:val="en-US" w:eastAsia="zh-CN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CN</w:t>
            </w:r>
            <w:r>
              <w:rPr>
                <w:rFonts w:hint="eastAsia" w:ascii="Times New Roman"/>
                <w:sz w:val="21"/>
                <w:szCs w:val="21"/>
                <w:highlight w:val="none"/>
                <w:lang w:val="en-US" w:eastAsia="zh-CN"/>
              </w:rPr>
              <w:t>118621199B</w:t>
            </w:r>
          </w:p>
        </w:tc>
        <w:tc>
          <w:tcPr>
            <w:tcW w:w="850" w:type="dxa"/>
            <w:noWrap/>
            <w:vAlign w:val="center"/>
          </w:tcPr>
          <w:p w14:paraId="7952CE06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哈尔滨理工大学</w:t>
            </w:r>
          </w:p>
        </w:tc>
        <w:tc>
          <w:tcPr>
            <w:tcW w:w="851" w:type="dxa"/>
            <w:noWrap/>
            <w:vAlign w:val="center"/>
          </w:tcPr>
          <w:p w14:paraId="61BE7751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highlight w:val="none"/>
              </w:rPr>
            </w:pPr>
            <w:r>
              <w:rPr>
                <w:rFonts w:hint="eastAsia" w:ascii="Times New Roman"/>
                <w:b/>
                <w:bCs/>
                <w:sz w:val="21"/>
                <w:szCs w:val="21"/>
                <w:highlight w:val="none"/>
              </w:rPr>
              <w:t xml:space="preserve">汪恩浩, </w:t>
            </w:r>
            <w:r>
              <w:rPr>
                <w:rFonts w:hint="eastAsia" w:ascii="Times New Roman"/>
                <w:b/>
                <w:bCs/>
                <w:sz w:val="21"/>
                <w:szCs w:val="21"/>
                <w:highlight w:val="none"/>
                <w:lang w:val="en-US" w:eastAsia="zh-CN"/>
              </w:rPr>
              <w:t>刘哲豪,</w:t>
            </w:r>
            <w:r>
              <w:rPr>
                <w:rFonts w:hint="eastAsia" w:ascii="Times New Roman"/>
                <w:sz w:val="21"/>
                <w:szCs w:val="21"/>
                <w:highlight w:val="none"/>
              </w:rPr>
              <w:t>康福伟,</w:t>
            </w:r>
            <w:r>
              <w:rPr>
                <w:rFonts w:hint="eastAsia" w:ascii="Times New Roman"/>
                <w:sz w:val="21"/>
                <w:szCs w:val="21"/>
                <w:highlight w:val="none"/>
                <w:lang w:val="en-US" w:eastAsia="zh-CN"/>
              </w:rPr>
              <w:t>李嘉琪,董建林</w:t>
            </w:r>
            <w:r>
              <w:rPr>
                <w:rFonts w:hint="eastAsia" w:ascii="Times New Roman"/>
                <w:sz w:val="21"/>
                <w:szCs w:val="21"/>
                <w:highlight w:val="none"/>
              </w:rPr>
              <w:t xml:space="preserve"> 吕立松</w:t>
            </w:r>
          </w:p>
        </w:tc>
        <w:tc>
          <w:tcPr>
            <w:tcW w:w="965" w:type="dxa"/>
            <w:noWrap/>
            <w:vAlign w:val="center"/>
          </w:tcPr>
          <w:p w14:paraId="00747A37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有效</w:t>
            </w:r>
          </w:p>
        </w:tc>
      </w:tr>
      <w:tr w14:paraId="1E0414C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088" w:type="dxa"/>
            <w:noWrap/>
            <w:vAlign w:val="center"/>
          </w:tcPr>
          <w:p w14:paraId="19341F7C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hint="eastAsia" w:ascii="Times New Roman"/>
                <w:sz w:val="21"/>
                <w:szCs w:val="21"/>
              </w:rPr>
              <w:t>发明专利</w:t>
            </w:r>
          </w:p>
        </w:tc>
        <w:tc>
          <w:tcPr>
            <w:tcW w:w="1260" w:type="dxa"/>
            <w:noWrap/>
            <w:vAlign w:val="center"/>
          </w:tcPr>
          <w:p w14:paraId="45C0EFAA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hint="eastAsia" w:ascii="Times New Roman"/>
                <w:sz w:val="21"/>
                <w:szCs w:val="21"/>
              </w:rPr>
              <w:t>一种用于3D打印的粉末制备方法及粉末搅拌磨机</w:t>
            </w:r>
          </w:p>
        </w:tc>
        <w:tc>
          <w:tcPr>
            <w:tcW w:w="1035" w:type="dxa"/>
            <w:noWrap/>
            <w:vAlign w:val="center"/>
          </w:tcPr>
          <w:p w14:paraId="4324FF70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hint="eastAsia" w:ascii="Times New Roman"/>
                <w:sz w:val="21"/>
                <w:szCs w:val="21"/>
              </w:rPr>
              <w:t>中国</w:t>
            </w:r>
          </w:p>
        </w:tc>
        <w:tc>
          <w:tcPr>
            <w:tcW w:w="836" w:type="dxa"/>
            <w:noWrap/>
            <w:vAlign w:val="center"/>
          </w:tcPr>
          <w:p w14:paraId="5F842C35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hint="eastAsia" w:ascii="Times New Roman"/>
                <w:sz w:val="21"/>
                <w:szCs w:val="21"/>
              </w:rPr>
              <w:t>ZL202111428848.0</w:t>
            </w:r>
          </w:p>
        </w:tc>
        <w:tc>
          <w:tcPr>
            <w:tcW w:w="992" w:type="dxa"/>
            <w:noWrap/>
            <w:vAlign w:val="center"/>
          </w:tcPr>
          <w:p w14:paraId="5CCBB244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hint="eastAsia" w:ascii="Times New Roman"/>
                <w:sz w:val="21"/>
                <w:szCs w:val="21"/>
              </w:rPr>
              <w:t>2024-10-22</w:t>
            </w:r>
          </w:p>
        </w:tc>
        <w:tc>
          <w:tcPr>
            <w:tcW w:w="1134" w:type="dxa"/>
            <w:noWrap/>
            <w:vAlign w:val="center"/>
          </w:tcPr>
          <w:p w14:paraId="6D0A3F3A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hint="eastAsia" w:ascii="Times New Roman"/>
                <w:sz w:val="21"/>
                <w:szCs w:val="21"/>
              </w:rPr>
              <w:t>CN114226738B</w:t>
            </w:r>
          </w:p>
        </w:tc>
        <w:tc>
          <w:tcPr>
            <w:tcW w:w="850" w:type="dxa"/>
            <w:noWrap/>
            <w:vAlign w:val="center"/>
          </w:tcPr>
          <w:p w14:paraId="5D8E18AC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hint="eastAsia" w:ascii="Times New Roman"/>
                <w:sz w:val="21"/>
                <w:szCs w:val="21"/>
              </w:rPr>
              <w:t>中铁工程装备集团有限公司</w:t>
            </w:r>
          </w:p>
        </w:tc>
        <w:tc>
          <w:tcPr>
            <w:tcW w:w="851" w:type="dxa"/>
            <w:noWrap/>
            <w:vAlign w:val="center"/>
          </w:tcPr>
          <w:p w14:paraId="0DC6A272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hint="eastAsia" w:ascii="Times New Roman"/>
                <w:b/>
                <w:bCs/>
                <w:sz w:val="21"/>
                <w:szCs w:val="21"/>
              </w:rPr>
              <w:t xml:space="preserve">郭志凯, </w:t>
            </w:r>
            <w:r>
              <w:rPr>
                <w:rFonts w:hint="eastAsia" w:ascii="Times New Roman"/>
                <w:sz w:val="21"/>
                <w:szCs w:val="21"/>
              </w:rPr>
              <w:t>王超锋, 曹培泽, 连明洋, 叶蕾, 姜礼杰</w:t>
            </w:r>
          </w:p>
        </w:tc>
        <w:tc>
          <w:tcPr>
            <w:tcW w:w="965" w:type="dxa"/>
            <w:noWrap/>
            <w:vAlign w:val="center"/>
          </w:tcPr>
          <w:p w14:paraId="06350A9A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hint="eastAsia" w:ascii="Times New Roman"/>
                <w:sz w:val="21"/>
                <w:szCs w:val="21"/>
              </w:rPr>
              <w:t>有效</w:t>
            </w:r>
          </w:p>
        </w:tc>
      </w:tr>
      <w:tr w14:paraId="2C01022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1088" w:type="dxa"/>
            <w:shd w:val="clear" w:color="auto" w:fill="auto"/>
            <w:noWrap/>
            <w:vAlign w:val="center"/>
          </w:tcPr>
          <w:p w14:paraId="47660BD1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1"/>
              </w:rPr>
              <w:t>发明专利</w:t>
            </w:r>
          </w:p>
        </w:tc>
        <w:tc>
          <w:tcPr>
            <w:tcW w:w="1260" w:type="dxa"/>
            <w:shd w:val="clear" w:color="auto" w:fill="auto"/>
            <w:noWrap/>
            <w:vAlign w:val="center"/>
          </w:tcPr>
          <w:p w14:paraId="63186835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1"/>
              </w:rPr>
              <w:t>一种密封跑道耐磨钢带的修复材料、修复涂层、修复方法</w:t>
            </w:r>
          </w:p>
        </w:tc>
        <w:tc>
          <w:tcPr>
            <w:tcW w:w="1035" w:type="dxa"/>
            <w:shd w:val="clear" w:color="auto" w:fill="auto"/>
            <w:noWrap/>
            <w:vAlign w:val="center"/>
          </w:tcPr>
          <w:p w14:paraId="79F2B56B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1"/>
              </w:rPr>
              <w:t>中国</w:t>
            </w:r>
          </w:p>
        </w:tc>
        <w:tc>
          <w:tcPr>
            <w:tcW w:w="836" w:type="dxa"/>
            <w:shd w:val="clear" w:color="auto" w:fill="auto"/>
            <w:noWrap/>
            <w:vAlign w:val="center"/>
          </w:tcPr>
          <w:p w14:paraId="58417447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1"/>
              </w:rPr>
              <w:t>ZL202311383760.0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570AC8FD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1"/>
              </w:rPr>
              <w:t>2025-12-19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5795187A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1"/>
              </w:rPr>
              <w:t>CN 117363931 B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1593E3B2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1"/>
              </w:rPr>
              <w:t>中铁工程装备集团有限公司</w:t>
            </w:r>
          </w:p>
        </w:tc>
        <w:tc>
          <w:tcPr>
            <w:tcW w:w="851" w:type="dxa"/>
            <w:shd w:val="clear" w:color="auto" w:fill="auto"/>
            <w:noWrap/>
            <w:vAlign w:val="center"/>
          </w:tcPr>
          <w:p w14:paraId="7D07DEFB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1"/>
              </w:rPr>
              <w:t xml:space="preserve">连明洋, </w:t>
            </w:r>
            <w:r>
              <w:rPr>
                <w:rFonts w:hint="eastAsia" w:ascii="Times New Roman"/>
                <w:b/>
                <w:bCs/>
                <w:sz w:val="21"/>
                <w:szCs w:val="21"/>
              </w:rPr>
              <w:t>郭志凯,</w:t>
            </w:r>
            <w:r>
              <w:rPr>
                <w:rFonts w:hint="eastAsia" w:ascii="Times New Roman"/>
                <w:sz w:val="21"/>
                <w:szCs w:val="21"/>
              </w:rPr>
              <w:t xml:space="preserve"> 靳万涛, </w:t>
            </w:r>
            <w:r>
              <w:rPr>
                <w:rFonts w:hint="eastAsia" w:ascii="Times New Roman"/>
                <w:b/>
                <w:bCs/>
                <w:sz w:val="21"/>
                <w:szCs w:val="21"/>
              </w:rPr>
              <w:t>程永龙,</w:t>
            </w:r>
            <w:r>
              <w:rPr>
                <w:rFonts w:hint="eastAsia" w:ascii="Times New Roman"/>
                <w:sz w:val="21"/>
                <w:szCs w:val="21"/>
              </w:rPr>
              <w:t xml:space="preserve"> 孙志洪, 白小波, 付安琪, 李超杰, 商秋月, 王吉忠</w:t>
            </w:r>
          </w:p>
        </w:tc>
        <w:tc>
          <w:tcPr>
            <w:tcW w:w="965" w:type="dxa"/>
            <w:shd w:val="clear" w:color="auto" w:fill="auto"/>
            <w:noWrap/>
            <w:vAlign w:val="center"/>
          </w:tcPr>
          <w:p w14:paraId="740F657C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hint="eastAsia"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1"/>
              </w:rPr>
              <w:t>有效</w:t>
            </w:r>
          </w:p>
        </w:tc>
      </w:tr>
      <w:tr w14:paraId="2B10195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1088" w:type="dxa"/>
            <w:noWrap/>
            <w:vAlign w:val="center"/>
          </w:tcPr>
          <w:p w14:paraId="7D532E70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</w:rPr>
            </w:pPr>
            <w:r>
              <w:rPr>
                <w:rFonts w:hint="eastAsia" w:ascii="Times New Roman"/>
                <w:sz w:val="21"/>
                <w:szCs w:val="21"/>
              </w:rPr>
              <w:t>发明专利</w:t>
            </w:r>
          </w:p>
        </w:tc>
        <w:tc>
          <w:tcPr>
            <w:tcW w:w="1260" w:type="dxa"/>
            <w:noWrap/>
            <w:vAlign w:val="center"/>
          </w:tcPr>
          <w:p w14:paraId="2474DCF1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</w:rPr>
            </w:pPr>
            <w:r>
              <w:rPr>
                <w:rFonts w:hint="eastAsia" w:ascii="Times New Roman"/>
                <w:sz w:val="21"/>
                <w:szCs w:val="21"/>
              </w:rPr>
              <w:t>一种涂层加速寿命激光热冲击试验原</w:t>
            </w:r>
            <w:r>
              <w:rPr>
                <w:rFonts w:hint="eastAsia" w:ascii="Times New Roman"/>
                <w:sz w:val="21"/>
                <w:szCs w:val="21"/>
                <w:lang w:val="en-US" w:eastAsia="zh-CN"/>
              </w:rPr>
              <w:t>位</w:t>
            </w:r>
            <w:r>
              <w:rPr>
                <w:rFonts w:hint="eastAsia" w:ascii="Times New Roman"/>
                <w:sz w:val="21"/>
                <w:szCs w:val="21"/>
              </w:rPr>
              <w:t>测试设备</w:t>
            </w:r>
          </w:p>
        </w:tc>
        <w:tc>
          <w:tcPr>
            <w:tcW w:w="1035" w:type="dxa"/>
            <w:noWrap/>
            <w:vAlign w:val="center"/>
          </w:tcPr>
          <w:p w14:paraId="29913529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</w:rPr>
            </w:pPr>
            <w:r>
              <w:rPr>
                <w:rFonts w:hint="eastAsia" w:ascii="Times New Roman"/>
                <w:sz w:val="21"/>
                <w:szCs w:val="21"/>
              </w:rPr>
              <w:t>中国</w:t>
            </w:r>
          </w:p>
        </w:tc>
        <w:tc>
          <w:tcPr>
            <w:tcW w:w="836" w:type="dxa"/>
            <w:noWrap/>
            <w:vAlign w:val="center"/>
          </w:tcPr>
          <w:p w14:paraId="2DE7F3B3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</w:rPr>
            </w:pPr>
            <w:r>
              <w:rPr>
                <w:rFonts w:hint="eastAsia" w:ascii="Times New Roman"/>
                <w:sz w:val="21"/>
                <w:szCs w:val="21"/>
              </w:rPr>
              <w:t>ZL202210111084.0</w:t>
            </w:r>
          </w:p>
        </w:tc>
        <w:tc>
          <w:tcPr>
            <w:tcW w:w="992" w:type="dxa"/>
            <w:noWrap/>
            <w:vAlign w:val="center"/>
          </w:tcPr>
          <w:p w14:paraId="0CCA7E19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</w:rPr>
            </w:pPr>
            <w:r>
              <w:rPr>
                <w:rFonts w:hint="eastAsia" w:ascii="Times New Roman"/>
                <w:sz w:val="21"/>
                <w:szCs w:val="21"/>
              </w:rPr>
              <w:t>2023-06-20</w:t>
            </w:r>
          </w:p>
        </w:tc>
        <w:tc>
          <w:tcPr>
            <w:tcW w:w="1134" w:type="dxa"/>
            <w:noWrap/>
            <w:vAlign w:val="center"/>
          </w:tcPr>
          <w:p w14:paraId="324B9CDF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</w:rPr>
            </w:pPr>
            <w:r>
              <w:rPr>
                <w:rFonts w:hint="eastAsia" w:ascii="Times New Roman"/>
                <w:sz w:val="21"/>
                <w:szCs w:val="21"/>
              </w:rPr>
              <w:t>CN114441359B</w:t>
            </w:r>
          </w:p>
        </w:tc>
        <w:tc>
          <w:tcPr>
            <w:tcW w:w="850" w:type="dxa"/>
            <w:noWrap/>
            <w:vAlign w:val="center"/>
          </w:tcPr>
          <w:p w14:paraId="4251564F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</w:rPr>
            </w:pPr>
            <w:r>
              <w:rPr>
                <w:rFonts w:hint="eastAsia" w:ascii="Times New Roman"/>
                <w:sz w:val="21"/>
                <w:szCs w:val="21"/>
              </w:rPr>
              <w:t>郑州轻工业大学</w:t>
            </w:r>
          </w:p>
        </w:tc>
        <w:tc>
          <w:tcPr>
            <w:tcW w:w="851" w:type="dxa"/>
            <w:noWrap/>
            <w:vAlign w:val="center"/>
          </w:tcPr>
          <w:p w14:paraId="06EE8894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</w:rPr>
            </w:pPr>
            <w:r>
              <w:rPr>
                <w:rFonts w:hint="eastAsia" w:ascii="Times New Roman"/>
                <w:b/>
                <w:bCs/>
                <w:sz w:val="21"/>
                <w:szCs w:val="21"/>
              </w:rPr>
              <w:t xml:space="preserve">刘琨, </w:t>
            </w:r>
            <w:r>
              <w:rPr>
                <w:rFonts w:hint="eastAsia" w:ascii="Times New Roman"/>
                <w:sz w:val="21"/>
                <w:szCs w:val="21"/>
              </w:rPr>
              <w:t xml:space="preserve">杜康平, 郭星, 明五一, </w:t>
            </w:r>
            <w:r>
              <w:rPr>
                <w:rFonts w:hint="eastAsia" w:ascii="Times New Roman"/>
                <w:b/>
                <w:bCs/>
                <w:sz w:val="21"/>
                <w:szCs w:val="21"/>
              </w:rPr>
              <w:t xml:space="preserve">马军, </w:t>
            </w:r>
            <w:r>
              <w:rPr>
                <w:rFonts w:hint="eastAsia" w:ascii="Times New Roman"/>
                <w:sz w:val="21"/>
                <w:szCs w:val="21"/>
              </w:rPr>
              <w:t>何文斌</w:t>
            </w:r>
          </w:p>
        </w:tc>
        <w:tc>
          <w:tcPr>
            <w:tcW w:w="965" w:type="dxa"/>
            <w:noWrap/>
            <w:vAlign w:val="center"/>
          </w:tcPr>
          <w:p w14:paraId="53F36700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</w:rPr>
            </w:pPr>
            <w:r>
              <w:rPr>
                <w:rFonts w:hint="eastAsia" w:ascii="Times New Roman"/>
                <w:sz w:val="21"/>
                <w:szCs w:val="21"/>
              </w:rPr>
              <w:t>有效</w:t>
            </w:r>
          </w:p>
        </w:tc>
      </w:tr>
      <w:tr w14:paraId="3F1F103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1088" w:type="dxa"/>
            <w:noWrap/>
            <w:vAlign w:val="center"/>
          </w:tcPr>
          <w:p w14:paraId="15C77BE0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hint="default" w:ascii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/>
                <w:sz w:val="21"/>
                <w:szCs w:val="21"/>
                <w:lang w:val="en-US" w:eastAsia="zh-CN"/>
              </w:rPr>
              <w:t>发明专利</w:t>
            </w:r>
          </w:p>
        </w:tc>
        <w:tc>
          <w:tcPr>
            <w:tcW w:w="1260" w:type="dxa"/>
            <w:noWrap/>
            <w:vAlign w:val="center"/>
          </w:tcPr>
          <w:p w14:paraId="65A3AB3A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hint="default" w:ascii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/>
                <w:sz w:val="21"/>
                <w:szCs w:val="21"/>
                <w:lang w:val="en-US" w:eastAsia="zh-CN"/>
              </w:rPr>
              <w:t>一种板材压剪断裂分析试样用夹具及其方法和试样</w:t>
            </w:r>
          </w:p>
        </w:tc>
        <w:tc>
          <w:tcPr>
            <w:tcW w:w="1035" w:type="dxa"/>
            <w:noWrap/>
            <w:vAlign w:val="center"/>
          </w:tcPr>
          <w:p w14:paraId="6397744D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hint="eastAsia" w:ascii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/>
                <w:sz w:val="21"/>
                <w:szCs w:val="21"/>
                <w:lang w:val="en-US" w:eastAsia="zh-CN"/>
              </w:rPr>
              <w:t>中国</w:t>
            </w:r>
          </w:p>
        </w:tc>
        <w:tc>
          <w:tcPr>
            <w:tcW w:w="836" w:type="dxa"/>
            <w:noWrap/>
            <w:vAlign w:val="center"/>
          </w:tcPr>
          <w:p w14:paraId="1C65EB04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hint="default" w:ascii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/>
                <w:sz w:val="21"/>
                <w:szCs w:val="21"/>
                <w:lang w:val="en-US" w:eastAsia="zh-CN"/>
              </w:rPr>
              <w:t>ZL202010518806.5</w:t>
            </w:r>
          </w:p>
        </w:tc>
        <w:tc>
          <w:tcPr>
            <w:tcW w:w="992" w:type="dxa"/>
            <w:noWrap/>
            <w:vAlign w:val="center"/>
          </w:tcPr>
          <w:p w14:paraId="33546BDB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hint="default" w:ascii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/>
                <w:sz w:val="21"/>
                <w:szCs w:val="21"/>
                <w:lang w:val="en-US" w:eastAsia="zh-CN"/>
              </w:rPr>
              <w:t>2021-05-18</w:t>
            </w:r>
          </w:p>
        </w:tc>
        <w:tc>
          <w:tcPr>
            <w:tcW w:w="1134" w:type="dxa"/>
            <w:noWrap/>
            <w:vAlign w:val="center"/>
          </w:tcPr>
          <w:p w14:paraId="0D864FF8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hint="default" w:ascii="Times New Roman" w:eastAsia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/>
                <w:sz w:val="21"/>
                <w:szCs w:val="21"/>
                <w:lang w:val="en-US" w:eastAsia="zh-CN"/>
              </w:rPr>
              <w:t>CN111665127B</w:t>
            </w:r>
          </w:p>
        </w:tc>
        <w:tc>
          <w:tcPr>
            <w:tcW w:w="850" w:type="dxa"/>
            <w:noWrap/>
            <w:vAlign w:val="center"/>
          </w:tcPr>
          <w:p w14:paraId="0BFFAACF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hint="eastAsia" w:ascii="Times New Roman"/>
                <w:sz w:val="21"/>
                <w:szCs w:val="21"/>
              </w:rPr>
            </w:pPr>
            <w:r>
              <w:rPr>
                <w:rFonts w:hint="eastAsia" w:ascii="Times New Roman"/>
                <w:sz w:val="21"/>
                <w:szCs w:val="21"/>
              </w:rPr>
              <w:t>郑州轻工业大学</w:t>
            </w:r>
          </w:p>
        </w:tc>
        <w:tc>
          <w:tcPr>
            <w:tcW w:w="851" w:type="dxa"/>
            <w:noWrap/>
            <w:vAlign w:val="center"/>
          </w:tcPr>
          <w:p w14:paraId="1E8502BC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hint="default" w:ascii="Times New Roman" w:eastAsia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/>
                <w:b/>
                <w:bCs/>
                <w:sz w:val="21"/>
                <w:szCs w:val="21"/>
                <w:lang w:val="en-US" w:eastAsia="zh-CN"/>
              </w:rPr>
              <w:t xml:space="preserve">钱凌云, </w:t>
            </w:r>
            <w:r>
              <w:rPr>
                <w:rFonts w:hint="eastAsia" w:ascii="Times New Roman"/>
                <w:sz w:val="21"/>
                <w:szCs w:val="21"/>
                <w:lang w:val="en-US" w:eastAsia="zh-CN"/>
              </w:rPr>
              <w:t xml:space="preserve">马腾云, 安鹏, </w:t>
            </w:r>
            <w:r>
              <w:rPr>
                <w:rFonts w:hint="eastAsia" w:ascii="Times New Roman"/>
                <w:b/>
                <w:bCs/>
                <w:sz w:val="21"/>
                <w:szCs w:val="21"/>
                <w:lang w:val="en-US" w:eastAsia="zh-CN"/>
              </w:rPr>
              <w:t>孙朝阳,</w:t>
            </w:r>
            <w:r>
              <w:rPr>
                <w:rFonts w:hint="eastAsia" w:ascii="Times New Roman"/>
                <w:sz w:val="21"/>
                <w:szCs w:val="21"/>
                <w:lang w:val="en-US" w:eastAsia="zh-CN"/>
              </w:rPr>
              <w:t xml:space="preserve"> 纪婉婷</w:t>
            </w:r>
          </w:p>
        </w:tc>
        <w:tc>
          <w:tcPr>
            <w:tcW w:w="965" w:type="dxa"/>
            <w:noWrap/>
            <w:vAlign w:val="center"/>
          </w:tcPr>
          <w:p w14:paraId="7212A325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hint="eastAsia" w:ascii="Times New Roman" w:eastAsia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/>
                <w:sz w:val="21"/>
                <w:szCs w:val="21"/>
                <w:lang w:val="en-US" w:eastAsia="zh-CN"/>
              </w:rPr>
              <w:t>有效</w:t>
            </w:r>
          </w:p>
        </w:tc>
      </w:tr>
      <w:tr w14:paraId="4E69F6C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6" w:hRule="atLeast"/>
          <w:jc w:val="center"/>
        </w:trPr>
        <w:tc>
          <w:tcPr>
            <w:tcW w:w="1088" w:type="dxa"/>
            <w:shd w:val="clear" w:color="auto" w:fill="auto"/>
            <w:noWrap/>
            <w:vAlign w:val="center"/>
          </w:tcPr>
          <w:p w14:paraId="6E045D36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1"/>
              </w:rPr>
              <w:t>实用新型</w:t>
            </w:r>
          </w:p>
        </w:tc>
        <w:tc>
          <w:tcPr>
            <w:tcW w:w="1260" w:type="dxa"/>
            <w:shd w:val="clear" w:color="auto" w:fill="auto"/>
            <w:noWrap/>
            <w:vAlign w:val="center"/>
          </w:tcPr>
          <w:p w14:paraId="34EC59E9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1"/>
              </w:rPr>
              <w:t>一种喷涂板材用不占高度空间的快速翻转基体装置</w:t>
            </w:r>
          </w:p>
        </w:tc>
        <w:tc>
          <w:tcPr>
            <w:tcW w:w="1035" w:type="dxa"/>
            <w:shd w:val="clear" w:color="auto" w:fill="auto"/>
            <w:noWrap/>
            <w:vAlign w:val="center"/>
          </w:tcPr>
          <w:p w14:paraId="35DF0D82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1"/>
              </w:rPr>
              <w:t>中国</w:t>
            </w:r>
          </w:p>
        </w:tc>
        <w:tc>
          <w:tcPr>
            <w:tcW w:w="836" w:type="dxa"/>
            <w:shd w:val="clear" w:color="auto" w:fill="auto"/>
            <w:noWrap/>
            <w:vAlign w:val="center"/>
          </w:tcPr>
          <w:p w14:paraId="7DD79AE3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1"/>
              </w:rPr>
              <w:t>ZL202220286581.X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6235EFCD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1"/>
              </w:rPr>
              <w:t>2022-06-14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6756A0F0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1"/>
              </w:rPr>
              <w:t>CN216727855U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2D26CF6C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1"/>
              </w:rPr>
              <w:t>郑州轻工业大学</w:t>
            </w:r>
          </w:p>
        </w:tc>
        <w:tc>
          <w:tcPr>
            <w:tcW w:w="851" w:type="dxa"/>
            <w:shd w:val="clear" w:color="auto" w:fill="auto"/>
            <w:noWrap/>
            <w:vAlign w:val="center"/>
          </w:tcPr>
          <w:p w14:paraId="1E335E50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hint="eastAsia" w:ascii="Times New Roman" w:hAnsi="Times New Roman" w:cs="Times New Roman" w:eastAsiaTheme="minorEastAsia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b/>
                <w:bCs/>
                <w:sz w:val="21"/>
                <w:szCs w:val="21"/>
              </w:rPr>
              <w:t>刘琨,</w:t>
            </w:r>
            <w:r>
              <w:rPr>
                <w:rFonts w:hint="eastAsia" w:ascii="Times New Roman"/>
                <w:sz w:val="21"/>
                <w:szCs w:val="21"/>
              </w:rPr>
              <w:t xml:space="preserve"> 郭星, </w:t>
            </w:r>
            <w:r>
              <w:rPr>
                <w:rFonts w:hint="eastAsia" w:ascii="Times New Roman"/>
                <w:sz w:val="21"/>
                <w:szCs w:val="21"/>
                <w:lang w:eastAsia="zh-CN"/>
              </w:rPr>
              <w:t>王凯</w:t>
            </w:r>
            <w:r>
              <w:rPr>
                <w:rFonts w:hint="eastAsia" w:ascii="Times New Roman"/>
                <w:sz w:val="21"/>
                <w:szCs w:val="21"/>
                <w:lang w:val="en-US" w:eastAsia="zh-CN"/>
              </w:rPr>
              <w:t>,</w:t>
            </w:r>
            <w:r>
              <w:rPr>
                <w:rFonts w:hint="eastAsia" w:ascii="Times New Roman"/>
                <w:sz w:val="21"/>
                <w:szCs w:val="21"/>
              </w:rPr>
              <w:t>王新生</w:t>
            </w:r>
            <w:r>
              <w:rPr>
                <w:rFonts w:hint="eastAsia" w:ascii="Times New Roman"/>
                <w:sz w:val="21"/>
                <w:szCs w:val="21"/>
                <w:lang w:val="en-US" w:eastAsia="zh-CN"/>
              </w:rPr>
              <w:t xml:space="preserve">, </w:t>
            </w:r>
            <w:r>
              <w:rPr>
                <w:rFonts w:hint="eastAsia" w:ascii="Times New Roman"/>
                <w:sz w:val="21"/>
                <w:szCs w:val="21"/>
                <w:lang w:eastAsia="zh-CN"/>
              </w:rPr>
              <w:t>杜康平</w:t>
            </w:r>
          </w:p>
        </w:tc>
        <w:tc>
          <w:tcPr>
            <w:tcW w:w="965" w:type="dxa"/>
            <w:shd w:val="clear" w:color="auto" w:fill="auto"/>
            <w:noWrap/>
            <w:vAlign w:val="center"/>
          </w:tcPr>
          <w:p w14:paraId="44D9BD21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1"/>
              </w:rPr>
              <w:t>有效</w:t>
            </w:r>
          </w:p>
        </w:tc>
      </w:tr>
      <w:tr w14:paraId="6F4B804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6" w:hRule="atLeast"/>
          <w:jc w:val="center"/>
        </w:trPr>
        <w:tc>
          <w:tcPr>
            <w:tcW w:w="1088" w:type="dxa"/>
            <w:noWrap/>
            <w:vAlign w:val="center"/>
          </w:tcPr>
          <w:p w14:paraId="764D4107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hint="eastAsia" w:ascii="Times New Roman"/>
                <w:sz w:val="21"/>
                <w:szCs w:val="21"/>
              </w:rPr>
              <w:t>软件著作</w:t>
            </w:r>
          </w:p>
        </w:tc>
        <w:tc>
          <w:tcPr>
            <w:tcW w:w="1260" w:type="dxa"/>
            <w:noWrap/>
            <w:vAlign w:val="center"/>
          </w:tcPr>
          <w:p w14:paraId="68E97305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hint="eastAsia" w:ascii="Times New Roman"/>
                <w:sz w:val="21"/>
                <w:szCs w:val="21"/>
              </w:rPr>
              <w:t>喷涂机器人离线编程管理系统V1.0</w:t>
            </w:r>
          </w:p>
        </w:tc>
        <w:tc>
          <w:tcPr>
            <w:tcW w:w="1035" w:type="dxa"/>
            <w:noWrap/>
            <w:vAlign w:val="center"/>
          </w:tcPr>
          <w:p w14:paraId="0C129951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hint="eastAsia" w:ascii="Times New Roman"/>
                <w:sz w:val="21"/>
                <w:szCs w:val="21"/>
              </w:rPr>
              <w:t>中国</w:t>
            </w:r>
          </w:p>
        </w:tc>
        <w:tc>
          <w:tcPr>
            <w:tcW w:w="836" w:type="dxa"/>
            <w:noWrap/>
            <w:vAlign w:val="center"/>
          </w:tcPr>
          <w:p w14:paraId="47D6B5E4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hint="eastAsia" w:ascii="Times New Roman"/>
                <w:sz w:val="21"/>
                <w:szCs w:val="21"/>
              </w:rPr>
              <w:t>2023SR1703769</w:t>
            </w:r>
          </w:p>
        </w:tc>
        <w:tc>
          <w:tcPr>
            <w:tcW w:w="992" w:type="dxa"/>
            <w:noWrap/>
            <w:vAlign w:val="center"/>
          </w:tcPr>
          <w:p w14:paraId="2CECA811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hint="eastAsia" w:ascii="Times New Roman"/>
                <w:sz w:val="21"/>
                <w:szCs w:val="21"/>
              </w:rPr>
              <w:t>2023-12-20</w:t>
            </w:r>
          </w:p>
        </w:tc>
        <w:tc>
          <w:tcPr>
            <w:tcW w:w="1134" w:type="dxa"/>
            <w:noWrap/>
            <w:vAlign w:val="center"/>
          </w:tcPr>
          <w:p w14:paraId="340498C2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hint="eastAsia" w:ascii="Times New Roman"/>
                <w:sz w:val="21"/>
                <w:szCs w:val="21"/>
              </w:rPr>
              <w:t>2023SR1703769</w:t>
            </w:r>
          </w:p>
        </w:tc>
        <w:tc>
          <w:tcPr>
            <w:tcW w:w="850" w:type="dxa"/>
            <w:noWrap/>
            <w:vAlign w:val="center"/>
          </w:tcPr>
          <w:p w14:paraId="639FBFF1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hint="eastAsia" w:ascii="Times New Roman"/>
                <w:sz w:val="21"/>
                <w:szCs w:val="21"/>
              </w:rPr>
              <w:t>郑州轻工业大学</w:t>
            </w:r>
          </w:p>
        </w:tc>
        <w:tc>
          <w:tcPr>
            <w:tcW w:w="851" w:type="dxa"/>
            <w:noWrap/>
            <w:vAlign w:val="center"/>
          </w:tcPr>
          <w:p w14:paraId="0CA3489F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hint="eastAsia" w:ascii="Times New Roman"/>
                <w:b/>
                <w:bCs/>
                <w:sz w:val="21"/>
                <w:szCs w:val="21"/>
              </w:rPr>
              <w:t>曹阳, 刘琨,</w:t>
            </w:r>
            <w:r>
              <w:rPr>
                <w:rFonts w:hint="eastAsia" w:ascii="Times New Roman"/>
                <w:sz w:val="21"/>
                <w:szCs w:val="21"/>
              </w:rPr>
              <w:t xml:space="preserve"> 都金光, 何文斌, </w:t>
            </w:r>
            <w:r>
              <w:rPr>
                <w:rFonts w:hint="eastAsia" w:ascii="Times New Roman"/>
                <w:b/>
                <w:bCs/>
                <w:sz w:val="21"/>
                <w:szCs w:val="21"/>
              </w:rPr>
              <w:t>马军,</w:t>
            </w:r>
            <w:r>
              <w:rPr>
                <w:rFonts w:hint="eastAsia" w:ascii="Times New Roman"/>
                <w:sz w:val="21"/>
                <w:szCs w:val="21"/>
              </w:rPr>
              <w:t xml:space="preserve"> 段留洋, 李晓科</w:t>
            </w:r>
          </w:p>
        </w:tc>
        <w:tc>
          <w:tcPr>
            <w:tcW w:w="965" w:type="dxa"/>
            <w:noWrap/>
            <w:vAlign w:val="center"/>
          </w:tcPr>
          <w:p w14:paraId="2696771F">
            <w:pPr>
              <w:pStyle w:val="13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hint="eastAsia" w:ascii="Times New Roman"/>
                <w:sz w:val="21"/>
                <w:szCs w:val="21"/>
              </w:rPr>
              <w:t>有效</w:t>
            </w:r>
          </w:p>
        </w:tc>
      </w:tr>
    </w:tbl>
    <w:p w14:paraId="75C18377">
      <w:pPr>
        <w:jc w:val="left"/>
        <w:rPr>
          <w:rFonts w:hint="eastAsia" w:ascii="宋体" w:hAnsi="宋体" w:eastAsia="宋体"/>
          <w:color w:val="FF0000"/>
          <w:sz w:val="28"/>
          <w:szCs w:val="28"/>
        </w:rPr>
      </w:pPr>
    </w:p>
    <w:p w14:paraId="2E77B0EC">
      <w:pPr>
        <w:jc w:val="center"/>
        <w:rPr>
          <w:rFonts w:hint="eastAsia"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 w14:paraId="4D7A9B69">
      <w:pPr>
        <w:jc w:val="left"/>
        <w:rPr>
          <w:rFonts w:hint="default" w:ascii="宋体" w:hAnsi="宋体" w:eastAsia="宋体"/>
          <w:color w:val="FF0000"/>
          <w:sz w:val="28"/>
          <w:szCs w:val="28"/>
          <w:lang w:val="en-US" w:eastAsia="zh-CN"/>
        </w:rPr>
      </w:pPr>
      <w:r>
        <w:rPr>
          <w:rFonts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论文（专著）目录</w:t>
      </w:r>
    </w:p>
    <w:tbl>
      <w:tblPr>
        <w:tblStyle w:val="18"/>
        <w:tblW w:w="10488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8"/>
        <w:gridCol w:w="1781"/>
        <w:gridCol w:w="1534"/>
        <w:gridCol w:w="760"/>
        <w:gridCol w:w="720"/>
        <w:gridCol w:w="693"/>
        <w:gridCol w:w="773"/>
        <w:gridCol w:w="859"/>
        <w:gridCol w:w="608"/>
        <w:gridCol w:w="760"/>
        <w:gridCol w:w="827"/>
        <w:gridCol w:w="645"/>
      </w:tblGrid>
      <w:tr w14:paraId="39E987E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1" w:hRule="atLeast"/>
          <w:jc w:val="center"/>
        </w:trPr>
        <w:tc>
          <w:tcPr>
            <w:tcW w:w="528" w:type="dxa"/>
            <w:tcBorders>
              <w:top w:val="single" w:color="auto" w:sz="8" w:space="0"/>
            </w:tcBorders>
            <w:noWrap/>
            <w:vAlign w:val="center"/>
          </w:tcPr>
          <w:p w14:paraId="06878A2D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序号</w:t>
            </w:r>
          </w:p>
        </w:tc>
        <w:tc>
          <w:tcPr>
            <w:tcW w:w="1781" w:type="dxa"/>
            <w:tcBorders>
              <w:top w:val="single" w:color="auto" w:sz="8" w:space="0"/>
            </w:tcBorders>
            <w:noWrap/>
            <w:vAlign w:val="center"/>
          </w:tcPr>
          <w:p w14:paraId="5F6BE419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论文专著名称/</w:t>
            </w:r>
          </w:p>
          <w:p w14:paraId="49725595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刊名/ 作者</w:t>
            </w:r>
          </w:p>
        </w:tc>
        <w:tc>
          <w:tcPr>
            <w:tcW w:w="1534" w:type="dxa"/>
            <w:tcBorders>
              <w:top w:val="single" w:color="auto" w:sz="8" w:space="0"/>
            </w:tcBorders>
            <w:noWrap/>
            <w:vAlign w:val="center"/>
          </w:tcPr>
          <w:p w14:paraId="236AB860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年卷页码</w:t>
            </w:r>
          </w:p>
          <w:p w14:paraId="48E612D3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（xx年xx卷xx页）</w:t>
            </w:r>
          </w:p>
        </w:tc>
        <w:tc>
          <w:tcPr>
            <w:tcW w:w="760" w:type="dxa"/>
            <w:tcBorders>
              <w:top w:val="single" w:color="auto" w:sz="8" w:space="0"/>
            </w:tcBorders>
            <w:noWrap/>
            <w:vAlign w:val="center"/>
          </w:tcPr>
          <w:p w14:paraId="0501AF8F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发表时间</w:t>
            </w:r>
          </w:p>
        </w:tc>
        <w:tc>
          <w:tcPr>
            <w:tcW w:w="720" w:type="dxa"/>
            <w:tcBorders>
              <w:top w:val="single" w:color="auto" w:sz="8" w:space="0"/>
            </w:tcBorders>
            <w:noWrap/>
            <w:vAlign w:val="center"/>
          </w:tcPr>
          <w:p w14:paraId="5D6C6B13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通讯作者</w:t>
            </w:r>
          </w:p>
        </w:tc>
        <w:tc>
          <w:tcPr>
            <w:tcW w:w="693" w:type="dxa"/>
            <w:tcBorders>
              <w:top w:val="single" w:color="auto" w:sz="8" w:space="0"/>
            </w:tcBorders>
            <w:noWrap/>
            <w:vAlign w:val="center"/>
          </w:tcPr>
          <w:p w14:paraId="5E6D487A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第一作者</w:t>
            </w:r>
          </w:p>
        </w:tc>
        <w:tc>
          <w:tcPr>
            <w:tcW w:w="773" w:type="dxa"/>
            <w:tcBorders>
              <w:top w:val="single" w:color="auto" w:sz="8" w:space="0"/>
            </w:tcBorders>
            <w:noWrap/>
            <w:vAlign w:val="center"/>
          </w:tcPr>
          <w:p w14:paraId="70B31DFD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第一署名单位</w:t>
            </w:r>
          </w:p>
        </w:tc>
        <w:tc>
          <w:tcPr>
            <w:tcW w:w="859" w:type="dxa"/>
            <w:tcBorders>
              <w:top w:val="single" w:color="auto" w:sz="8" w:space="0"/>
            </w:tcBorders>
            <w:noWrap/>
            <w:vAlign w:val="center"/>
          </w:tcPr>
          <w:p w14:paraId="12F1A15D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国内作者</w:t>
            </w:r>
          </w:p>
        </w:tc>
        <w:tc>
          <w:tcPr>
            <w:tcW w:w="608" w:type="dxa"/>
            <w:tcBorders>
              <w:top w:val="single" w:color="auto" w:sz="8" w:space="0"/>
            </w:tcBorders>
            <w:noWrap/>
            <w:vAlign w:val="center"/>
          </w:tcPr>
          <w:p w14:paraId="25CB5872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他引总次数</w:t>
            </w:r>
          </w:p>
        </w:tc>
        <w:tc>
          <w:tcPr>
            <w:tcW w:w="760" w:type="dxa"/>
            <w:tcBorders>
              <w:top w:val="single" w:color="auto" w:sz="8" w:space="0"/>
            </w:tcBorders>
            <w:noWrap/>
            <w:vAlign w:val="center"/>
          </w:tcPr>
          <w:p w14:paraId="374459FD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检索数据库</w:t>
            </w:r>
          </w:p>
        </w:tc>
        <w:tc>
          <w:tcPr>
            <w:tcW w:w="827" w:type="dxa"/>
            <w:tcBorders>
              <w:top w:val="single" w:color="auto" w:sz="8" w:space="0"/>
            </w:tcBorders>
            <w:noWrap/>
            <w:vAlign w:val="center"/>
          </w:tcPr>
          <w:p w14:paraId="4255C96D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中科院JCR</w:t>
            </w:r>
          </w:p>
          <w:p w14:paraId="0E8776B3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分区</w:t>
            </w:r>
          </w:p>
        </w:tc>
        <w:tc>
          <w:tcPr>
            <w:tcW w:w="645" w:type="dxa"/>
            <w:tcBorders>
              <w:top w:val="single" w:color="auto" w:sz="8" w:space="0"/>
            </w:tcBorders>
            <w:noWrap/>
            <w:vAlign w:val="center"/>
          </w:tcPr>
          <w:p w14:paraId="1BE797BF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核心</w:t>
            </w:r>
          </w:p>
          <w:p w14:paraId="13B98496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期刊</w:t>
            </w:r>
          </w:p>
        </w:tc>
      </w:tr>
      <w:tr w14:paraId="5ACB489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6" w:hRule="atLeast"/>
          <w:jc w:val="center"/>
        </w:trPr>
        <w:tc>
          <w:tcPr>
            <w:tcW w:w="528" w:type="dxa"/>
            <w:noWrap/>
            <w:vAlign w:val="center"/>
          </w:tcPr>
          <w:p w14:paraId="40D51D99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color w:val="FF0000"/>
                <w:sz w:val="21"/>
                <w:szCs w:val="21"/>
              </w:rPr>
              <w:t>1</w:t>
            </w:r>
          </w:p>
        </w:tc>
        <w:tc>
          <w:tcPr>
            <w:tcW w:w="1781" w:type="dxa"/>
            <w:noWrap/>
            <w:vAlign w:val="center"/>
          </w:tcPr>
          <w:p w14:paraId="3DC310CC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1"/>
              </w:rPr>
              <w:t>Study of stress-driven cracking behavior and competitive crack growth in functionally graded thermal barrier coatings/《Surface and Coatings Technology》/Kun Liu, Yihui Du, Xiaoman Guo, Jun Ma, Wenbin He, Yang Cao, Jinguang Du</w:t>
            </w:r>
          </w:p>
        </w:tc>
        <w:tc>
          <w:tcPr>
            <w:tcW w:w="1534" w:type="dxa"/>
            <w:noWrap/>
            <w:vAlign w:val="center"/>
          </w:tcPr>
          <w:p w14:paraId="4B32D996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1"/>
              </w:rPr>
              <w:t>2023年473卷129969</w:t>
            </w:r>
          </w:p>
        </w:tc>
        <w:tc>
          <w:tcPr>
            <w:tcW w:w="760" w:type="dxa"/>
            <w:noWrap/>
            <w:vAlign w:val="center"/>
          </w:tcPr>
          <w:p w14:paraId="65488061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1"/>
              </w:rPr>
              <w:t>2023-11-03</w:t>
            </w:r>
          </w:p>
        </w:tc>
        <w:tc>
          <w:tcPr>
            <w:tcW w:w="720" w:type="dxa"/>
            <w:noWrap/>
            <w:vAlign w:val="center"/>
          </w:tcPr>
          <w:p w14:paraId="04635C90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1"/>
              </w:rPr>
              <w:t>Jinguang Du</w:t>
            </w:r>
          </w:p>
        </w:tc>
        <w:tc>
          <w:tcPr>
            <w:tcW w:w="693" w:type="dxa"/>
            <w:noWrap/>
            <w:vAlign w:val="center"/>
          </w:tcPr>
          <w:p w14:paraId="7294E222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1"/>
              </w:rPr>
              <w:t>Kun Liu</w:t>
            </w:r>
          </w:p>
        </w:tc>
        <w:tc>
          <w:tcPr>
            <w:tcW w:w="773" w:type="dxa"/>
            <w:noWrap/>
            <w:vAlign w:val="center"/>
          </w:tcPr>
          <w:p w14:paraId="2CB3CB19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1"/>
              </w:rPr>
              <w:t>Zhengzhou University of Light Industry</w:t>
            </w:r>
          </w:p>
        </w:tc>
        <w:tc>
          <w:tcPr>
            <w:tcW w:w="859" w:type="dxa"/>
            <w:noWrap/>
            <w:vAlign w:val="center"/>
          </w:tcPr>
          <w:p w14:paraId="3F3CC57B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b/>
                <w:bCs/>
                <w:sz w:val="21"/>
                <w:szCs w:val="21"/>
              </w:rPr>
              <w:t xml:space="preserve">Kun Liu, </w:t>
            </w:r>
            <w:r>
              <w:rPr>
                <w:rFonts w:hint="eastAsia" w:ascii="Times New Roman"/>
                <w:sz w:val="21"/>
                <w:szCs w:val="21"/>
              </w:rPr>
              <w:t xml:space="preserve">Yihui Du, Xiaoman Guo, </w:t>
            </w:r>
            <w:r>
              <w:rPr>
                <w:rFonts w:hint="eastAsia" w:ascii="Times New Roman"/>
                <w:b/>
                <w:bCs/>
                <w:sz w:val="21"/>
                <w:szCs w:val="21"/>
              </w:rPr>
              <w:t xml:space="preserve">Jun Ma, </w:t>
            </w:r>
            <w:r>
              <w:rPr>
                <w:rFonts w:hint="eastAsia" w:ascii="Times New Roman"/>
                <w:sz w:val="21"/>
                <w:szCs w:val="21"/>
              </w:rPr>
              <w:t xml:space="preserve">Wenbin He, </w:t>
            </w:r>
            <w:r>
              <w:rPr>
                <w:rFonts w:hint="eastAsia" w:ascii="Times New Roman"/>
                <w:b/>
                <w:bCs/>
                <w:sz w:val="21"/>
                <w:szCs w:val="21"/>
              </w:rPr>
              <w:t xml:space="preserve">Yang Cao, </w:t>
            </w:r>
            <w:r>
              <w:rPr>
                <w:rFonts w:hint="eastAsia" w:ascii="Times New Roman"/>
                <w:sz w:val="21"/>
                <w:szCs w:val="21"/>
              </w:rPr>
              <w:t>Jinguang Du</w:t>
            </w:r>
          </w:p>
        </w:tc>
        <w:tc>
          <w:tcPr>
            <w:tcW w:w="608" w:type="dxa"/>
            <w:noWrap/>
            <w:vAlign w:val="center"/>
          </w:tcPr>
          <w:p w14:paraId="0898739E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1"/>
              </w:rPr>
              <w:t>14</w:t>
            </w:r>
          </w:p>
        </w:tc>
        <w:tc>
          <w:tcPr>
            <w:tcW w:w="760" w:type="dxa"/>
            <w:noWrap/>
            <w:vAlign w:val="center"/>
          </w:tcPr>
          <w:p w14:paraId="608E1E45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1"/>
              </w:rPr>
              <w:t>SCI</w:t>
            </w:r>
          </w:p>
        </w:tc>
        <w:tc>
          <w:tcPr>
            <w:tcW w:w="827" w:type="dxa"/>
            <w:noWrap/>
            <w:vAlign w:val="center"/>
          </w:tcPr>
          <w:p w14:paraId="53B34286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1"/>
              </w:rPr>
              <w:t>一区</w:t>
            </w:r>
          </w:p>
        </w:tc>
        <w:tc>
          <w:tcPr>
            <w:tcW w:w="645" w:type="dxa"/>
            <w:noWrap/>
            <w:vAlign w:val="center"/>
          </w:tcPr>
          <w:p w14:paraId="7BAD0314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  <w:lang w:val="en-US" w:eastAsia="zh-CN"/>
              </w:rPr>
              <w:t>否</w:t>
            </w:r>
          </w:p>
        </w:tc>
      </w:tr>
      <w:tr w14:paraId="67165D0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6" w:hRule="atLeast"/>
          <w:jc w:val="center"/>
        </w:trPr>
        <w:tc>
          <w:tcPr>
            <w:tcW w:w="528" w:type="dxa"/>
            <w:noWrap/>
            <w:vAlign w:val="center"/>
          </w:tcPr>
          <w:p w14:paraId="6BB664BA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/>
                <w:sz w:val="21"/>
                <w:szCs w:val="21"/>
                <w:lang w:val="en-US" w:eastAsia="zh-CN"/>
              </w:rPr>
              <w:t>2</w:t>
            </w:r>
          </w:p>
        </w:tc>
        <w:tc>
          <w:tcPr>
            <w:tcW w:w="1781" w:type="dxa"/>
            <w:shd w:val="clear" w:color="auto" w:fill="auto"/>
            <w:noWrap/>
            <w:vAlign w:val="center"/>
          </w:tcPr>
          <w:p w14:paraId="3C6BCB11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eastAsia="宋体" w:hAnsiTheme="minorHAnsi" w:cstheme="minorBidi"/>
                <w:kern w:val="2"/>
                <w:sz w:val="21"/>
                <w:szCs w:val="21"/>
                <w:lang w:val="en-US" w:eastAsia="zh-CN" w:bidi="ar-SA"/>
                <w14:ligatures w14:val="standardContextual"/>
              </w:rPr>
            </w:pPr>
            <w:r>
              <w:rPr>
                <w:rFonts w:hint="default" w:ascii="Times New Roman"/>
                <w:sz w:val="21"/>
                <w:szCs w:val="21"/>
              </w:rPr>
              <w:t>Mechanical response of titanium tri-aluminide intermetallic alloy</w:t>
            </w:r>
            <w:r>
              <w:rPr>
                <w:rFonts w:hint="eastAsia" w:ascii="Times New Roman"/>
                <w:sz w:val="21"/>
                <w:szCs w:val="21"/>
                <w:lang w:val="en-US" w:eastAsia="zh-CN"/>
              </w:rPr>
              <w:t>/《</w:t>
            </w:r>
            <w:r>
              <w:rPr>
                <w:rFonts w:hint="default" w:ascii="Times New Roman"/>
                <w:sz w:val="21"/>
                <w:szCs w:val="21"/>
              </w:rPr>
              <w:fldChar w:fldCharType="begin"/>
            </w:r>
            <w:r>
              <w:rPr>
                <w:rFonts w:hint="default" w:ascii="Times New Roman"/>
                <w:sz w:val="21"/>
                <w:szCs w:val="21"/>
              </w:rPr>
              <w:instrText xml:space="preserve"> HYPERLINK "https://www.letpub.com.cn/index.php?journalid=5698&amp;page=journalapp&amp;view=detail" \t "https://www.letpub.com.cn/_blank" </w:instrText>
            </w:r>
            <w:r>
              <w:rPr>
                <w:rFonts w:hint="default" w:ascii="Times New Roman"/>
                <w:sz w:val="21"/>
                <w:szCs w:val="21"/>
              </w:rPr>
              <w:fldChar w:fldCharType="separate"/>
            </w:r>
            <w:r>
              <w:rPr>
                <w:rFonts w:hint="default" w:ascii="Times New Roman"/>
                <w:sz w:val="21"/>
                <w:szCs w:val="21"/>
              </w:rPr>
              <w:t>M</w:t>
            </w:r>
            <w:r>
              <w:rPr>
                <w:rFonts w:hint="eastAsia" w:ascii="Times New Roman"/>
                <w:sz w:val="21"/>
                <w:szCs w:val="21"/>
                <w:lang w:val="en-US" w:eastAsia="zh-CN"/>
              </w:rPr>
              <w:t>aterials Science and Engineering A-Structural Materials Properties Microstructure and Processing</w:t>
            </w:r>
            <w:r>
              <w:rPr>
                <w:rFonts w:hint="default" w:ascii="Times New Roman"/>
                <w:sz w:val="21"/>
                <w:szCs w:val="21"/>
              </w:rPr>
              <w:fldChar w:fldCharType="end"/>
            </w:r>
            <w:r>
              <w:rPr>
                <w:rFonts w:hint="eastAsia" w:ascii="Times New Roman"/>
                <w:sz w:val="21"/>
                <w:szCs w:val="21"/>
                <w:lang w:eastAsia="zh-CN"/>
              </w:rPr>
              <w:t>》</w:t>
            </w:r>
            <w:r>
              <w:rPr>
                <w:rFonts w:hint="eastAsia" w:ascii="Times New Roman"/>
                <w:sz w:val="21"/>
                <w:szCs w:val="21"/>
                <w:lang w:val="en-US" w:eastAsia="zh-CN"/>
              </w:rPr>
              <w:t>/</w:t>
            </w:r>
            <w:r>
              <w:rPr>
                <w:rFonts w:hint="default" w:ascii="Times New Roman"/>
                <w:sz w:val="21"/>
                <w:szCs w:val="21"/>
              </w:rPr>
              <w:t>Yang Cao, Ningxia Wei, Xiaoxiao Han, Chunhuan Guo, Jinguang Du, Wenbin He, Jun Ma, Fengchun Jiang</w:t>
            </w:r>
          </w:p>
        </w:tc>
        <w:tc>
          <w:tcPr>
            <w:tcW w:w="1534" w:type="dxa"/>
            <w:shd w:val="clear" w:color="auto" w:fill="auto"/>
            <w:noWrap/>
            <w:vAlign w:val="center"/>
          </w:tcPr>
          <w:p w14:paraId="640BA9F9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eastAsia="宋体" w:hAnsiTheme="minorHAnsi" w:cstheme="minorBidi"/>
                <w:kern w:val="2"/>
                <w:sz w:val="21"/>
                <w:szCs w:val="21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/>
                <w:sz w:val="21"/>
                <w:szCs w:val="21"/>
                <w:lang w:val="en-US" w:eastAsia="zh-CN"/>
              </w:rPr>
              <w:t>2017年706卷242-248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090FFB8F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eastAsia="宋体" w:hAnsiTheme="minorHAnsi" w:cstheme="minorBidi"/>
                <w:kern w:val="2"/>
                <w:sz w:val="21"/>
                <w:szCs w:val="21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/>
                <w:sz w:val="21"/>
                <w:szCs w:val="21"/>
                <w:lang w:val="en-US" w:eastAsia="zh-CN"/>
              </w:rPr>
              <w:t>2017-10-26</w:t>
            </w:r>
          </w:p>
        </w:tc>
        <w:tc>
          <w:tcPr>
            <w:tcW w:w="720" w:type="dxa"/>
            <w:shd w:val="clear" w:color="auto" w:fill="auto"/>
            <w:noWrap/>
            <w:vAlign w:val="center"/>
          </w:tcPr>
          <w:p w14:paraId="515F3AC5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eastAsia="宋体" w:hAnsiTheme="minorHAnsi" w:cstheme="minorBidi"/>
                <w:kern w:val="2"/>
                <w:sz w:val="21"/>
                <w:szCs w:val="21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/>
                <w:sz w:val="21"/>
                <w:szCs w:val="21"/>
                <w:lang w:val="en-US" w:eastAsia="zh-CN"/>
              </w:rPr>
              <w:t>Jun Ma, Fengchun Jiang</w:t>
            </w:r>
          </w:p>
        </w:tc>
        <w:tc>
          <w:tcPr>
            <w:tcW w:w="693" w:type="dxa"/>
            <w:shd w:val="clear" w:color="auto" w:fill="auto"/>
            <w:noWrap/>
            <w:vAlign w:val="center"/>
          </w:tcPr>
          <w:p w14:paraId="7F353A66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hAnsiTheme="minorHAnsi" w:eastAsiaTheme="minorEastAsia" w:cstheme="minorBidi"/>
                <w:kern w:val="2"/>
                <w:sz w:val="21"/>
                <w:szCs w:val="21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/>
                <w:sz w:val="21"/>
                <w:szCs w:val="21"/>
              </w:rPr>
              <w:t>Yang Cao</w:t>
            </w:r>
          </w:p>
        </w:tc>
        <w:tc>
          <w:tcPr>
            <w:tcW w:w="773" w:type="dxa"/>
            <w:shd w:val="clear" w:color="auto" w:fill="auto"/>
            <w:noWrap/>
            <w:vAlign w:val="center"/>
          </w:tcPr>
          <w:p w14:paraId="0E1B804D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hAnsiTheme="minorHAnsi" w:eastAsiaTheme="minorEastAsia" w:cstheme="minorBidi"/>
                <w:kern w:val="2"/>
                <w:sz w:val="21"/>
                <w:szCs w:val="21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/>
                <w:sz w:val="21"/>
                <w:szCs w:val="21"/>
              </w:rPr>
              <w:t>Zhengzhou University of Light Industry</w:t>
            </w:r>
          </w:p>
        </w:tc>
        <w:tc>
          <w:tcPr>
            <w:tcW w:w="859" w:type="dxa"/>
            <w:shd w:val="clear" w:color="auto" w:fill="auto"/>
            <w:noWrap/>
            <w:vAlign w:val="center"/>
          </w:tcPr>
          <w:p w14:paraId="140E873F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hAnsiTheme="minorHAnsi" w:eastAsiaTheme="minorEastAsia" w:cstheme="minorBidi"/>
                <w:b/>
                <w:bCs/>
                <w:kern w:val="2"/>
                <w:sz w:val="21"/>
                <w:szCs w:val="21"/>
                <w:lang w:val="en-US" w:eastAsia="zh-CN" w:bidi="ar-SA"/>
                <w14:ligatures w14:val="standardContextual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Cs w:val="28"/>
              </w:rPr>
              <w:t>Yang Cao</w:t>
            </w:r>
            <w:r>
              <w:rPr>
                <w:rFonts w:hint="default" w:ascii="Times New Roman" w:hAnsi="Times New Roman" w:eastAsia="宋体" w:cs="Times New Roman"/>
                <w:szCs w:val="28"/>
              </w:rPr>
              <w:t xml:space="preserve">, Ningxia Wei, Xiaoxiao Han, Chunhuan Guo, Jinguang Du, Wenbin He, </w:t>
            </w:r>
            <w:r>
              <w:rPr>
                <w:rFonts w:hint="default" w:ascii="Times New Roman" w:hAnsi="Times New Roman" w:eastAsia="宋体" w:cs="Times New Roman"/>
                <w:b/>
                <w:bCs/>
                <w:szCs w:val="28"/>
              </w:rPr>
              <w:t>Jun Ma</w:t>
            </w:r>
            <w:r>
              <w:rPr>
                <w:rFonts w:hint="default" w:ascii="Times New Roman" w:hAnsi="Times New Roman" w:eastAsia="宋体" w:cs="Times New Roman"/>
                <w:szCs w:val="28"/>
              </w:rPr>
              <w:t>, Fengchun Jiang</w:t>
            </w:r>
          </w:p>
        </w:tc>
        <w:tc>
          <w:tcPr>
            <w:tcW w:w="608" w:type="dxa"/>
            <w:shd w:val="clear" w:color="auto" w:fill="auto"/>
            <w:noWrap/>
            <w:vAlign w:val="center"/>
          </w:tcPr>
          <w:p w14:paraId="47F23328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eastAsia="宋体" w:hAnsiTheme="minorHAnsi" w:cstheme="minorBidi"/>
                <w:kern w:val="2"/>
                <w:sz w:val="21"/>
                <w:szCs w:val="21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/>
                <w:sz w:val="21"/>
                <w:szCs w:val="21"/>
                <w:lang w:val="en-US" w:eastAsia="zh-CN"/>
              </w:rPr>
              <w:t>14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0E49067A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eastAsia="宋体" w:hAnsiTheme="minorHAnsi" w:cstheme="minorBidi"/>
                <w:kern w:val="2"/>
                <w:sz w:val="21"/>
                <w:szCs w:val="21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/>
                <w:sz w:val="21"/>
                <w:szCs w:val="21"/>
                <w:lang w:val="en-US" w:eastAsia="zh-CN"/>
              </w:rPr>
              <w:t>SCI</w:t>
            </w:r>
          </w:p>
        </w:tc>
        <w:tc>
          <w:tcPr>
            <w:tcW w:w="827" w:type="dxa"/>
            <w:shd w:val="clear" w:color="auto" w:fill="auto"/>
            <w:noWrap/>
            <w:vAlign w:val="center"/>
          </w:tcPr>
          <w:p w14:paraId="1F09EC95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eastAsia="宋体" w:hAnsiTheme="minorHAnsi" w:cstheme="minorBidi"/>
                <w:kern w:val="2"/>
                <w:sz w:val="21"/>
                <w:szCs w:val="21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/>
                <w:sz w:val="21"/>
                <w:szCs w:val="21"/>
                <w:lang w:val="en-US" w:eastAsia="zh-CN"/>
              </w:rPr>
              <w:t>一区</w:t>
            </w:r>
          </w:p>
        </w:tc>
        <w:tc>
          <w:tcPr>
            <w:tcW w:w="645" w:type="dxa"/>
            <w:shd w:val="clear" w:color="auto" w:fill="auto"/>
            <w:noWrap/>
            <w:vAlign w:val="center"/>
          </w:tcPr>
          <w:p w14:paraId="2FF664C9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Theme="minorHAnsi" w:eastAsiaTheme="minorEastAsia" w:cstheme="minorBidi"/>
                <w:kern w:val="2"/>
                <w:sz w:val="21"/>
                <w:szCs w:val="28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/>
                <w:sz w:val="21"/>
                <w:szCs w:val="28"/>
                <w:lang w:val="en-US" w:eastAsia="zh-CN"/>
              </w:rPr>
              <w:t>否</w:t>
            </w:r>
          </w:p>
        </w:tc>
      </w:tr>
      <w:tr w14:paraId="3C700F0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6" w:hRule="atLeast"/>
          <w:jc w:val="center"/>
        </w:trPr>
        <w:tc>
          <w:tcPr>
            <w:tcW w:w="528" w:type="dxa"/>
            <w:noWrap/>
            <w:vAlign w:val="center"/>
          </w:tcPr>
          <w:p w14:paraId="26720F2B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/>
                <w:color w:val="FF0000"/>
                <w:sz w:val="21"/>
                <w:szCs w:val="21"/>
                <w:lang w:val="en-US" w:eastAsia="zh-CN"/>
              </w:rPr>
              <w:t>3</w:t>
            </w:r>
          </w:p>
        </w:tc>
        <w:tc>
          <w:tcPr>
            <w:tcW w:w="1781" w:type="dxa"/>
            <w:shd w:val="clear" w:color="auto" w:fill="auto"/>
            <w:noWrap/>
            <w:vAlign w:val="center"/>
          </w:tcPr>
          <w:p w14:paraId="7E318E0C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Theme="minorHAnsi" w:eastAsiaTheme="minorEastAsia" w:cstheme="minorBidi"/>
                <w:kern w:val="2"/>
                <w:sz w:val="21"/>
                <w:szCs w:val="28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/>
                <w:sz w:val="21"/>
                <w:szCs w:val="21"/>
              </w:rPr>
              <w:t>Study on multimodal crack growth of FG-TBCs and its influence on interface cracking/《Journal of Materials Research and Technology》/Kun Liu, Dongyang Lv, Yihui Du, Guoyong Ye, Yu Wang, Wei Fan, Lei Zhang, Yang Cao</w:t>
            </w:r>
          </w:p>
        </w:tc>
        <w:tc>
          <w:tcPr>
            <w:tcW w:w="1534" w:type="dxa"/>
            <w:shd w:val="clear" w:color="auto" w:fill="auto"/>
            <w:noWrap/>
            <w:vAlign w:val="center"/>
          </w:tcPr>
          <w:p w14:paraId="1804FC02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hAnsiTheme="minorHAnsi" w:eastAsiaTheme="minorEastAsia" w:cstheme="minorBidi"/>
                <w:kern w:val="2"/>
                <w:sz w:val="21"/>
                <w:szCs w:val="28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/>
                <w:sz w:val="21"/>
                <w:szCs w:val="21"/>
              </w:rPr>
              <w:t>2025年36卷8920-8934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234BBC77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hAnsiTheme="minorHAnsi" w:eastAsiaTheme="minorEastAsia" w:cstheme="minorBidi"/>
                <w:kern w:val="2"/>
                <w:sz w:val="21"/>
                <w:szCs w:val="28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/>
                <w:sz w:val="21"/>
                <w:szCs w:val="21"/>
              </w:rPr>
              <w:t>2025-05-11</w:t>
            </w:r>
          </w:p>
        </w:tc>
        <w:tc>
          <w:tcPr>
            <w:tcW w:w="720" w:type="dxa"/>
            <w:shd w:val="clear" w:color="auto" w:fill="auto"/>
            <w:noWrap/>
            <w:vAlign w:val="center"/>
          </w:tcPr>
          <w:p w14:paraId="3FD84730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hAnsiTheme="minorHAnsi" w:eastAsiaTheme="minorEastAsia" w:cstheme="minorBidi"/>
                <w:kern w:val="2"/>
                <w:sz w:val="21"/>
                <w:szCs w:val="28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/>
                <w:sz w:val="21"/>
                <w:szCs w:val="21"/>
              </w:rPr>
              <w:t>Kun Liu，Yang Cao</w:t>
            </w:r>
          </w:p>
        </w:tc>
        <w:tc>
          <w:tcPr>
            <w:tcW w:w="693" w:type="dxa"/>
            <w:shd w:val="clear" w:color="auto" w:fill="auto"/>
            <w:noWrap/>
            <w:vAlign w:val="center"/>
          </w:tcPr>
          <w:p w14:paraId="1A0DB08F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hAnsiTheme="minorHAnsi" w:eastAsiaTheme="minorEastAsia" w:cstheme="minorBidi"/>
                <w:kern w:val="2"/>
                <w:sz w:val="21"/>
                <w:szCs w:val="28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/>
                <w:sz w:val="21"/>
                <w:szCs w:val="21"/>
              </w:rPr>
              <w:t>Kun Liu</w:t>
            </w:r>
          </w:p>
        </w:tc>
        <w:tc>
          <w:tcPr>
            <w:tcW w:w="773" w:type="dxa"/>
            <w:shd w:val="clear" w:color="auto" w:fill="auto"/>
            <w:noWrap/>
            <w:vAlign w:val="center"/>
          </w:tcPr>
          <w:p w14:paraId="12A94337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hAnsiTheme="minorHAnsi" w:eastAsiaTheme="minorEastAsia" w:cstheme="minorBidi"/>
                <w:kern w:val="2"/>
                <w:sz w:val="21"/>
                <w:szCs w:val="28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/>
                <w:sz w:val="21"/>
                <w:szCs w:val="21"/>
              </w:rPr>
              <w:t>Zhengzhou University of Light Industry</w:t>
            </w:r>
          </w:p>
        </w:tc>
        <w:tc>
          <w:tcPr>
            <w:tcW w:w="859" w:type="dxa"/>
            <w:shd w:val="clear" w:color="auto" w:fill="auto"/>
            <w:noWrap/>
            <w:vAlign w:val="center"/>
          </w:tcPr>
          <w:p w14:paraId="0C2ABC81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Theme="minorHAnsi" w:eastAsiaTheme="minorEastAsia" w:cstheme="minorBidi"/>
                <w:kern w:val="2"/>
                <w:sz w:val="21"/>
                <w:szCs w:val="28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/>
                <w:b/>
                <w:bCs/>
                <w:sz w:val="21"/>
                <w:szCs w:val="21"/>
              </w:rPr>
              <w:t xml:space="preserve">Kun Liu, </w:t>
            </w:r>
            <w:r>
              <w:rPr>
                <w:rFonts w:hint="eastAsia" w:ascii="Times New Roman"/>
                <w:sz w:val="21"/>
                <w:szCs w:val="21"/>
              </w:rPr>
              <w:t xml:space="preserve">Dongyang Lv, Yihui Du, Guoyong Ye, Yu Wang, Wei Fan, Lei Zhang, </w:t>
            </w:r>
            <w:r>
              <w:rPr>
                <w:rFonts w:hint="eastAsia" w:ascii="Times New Roman"/>
                <w:b/>
                <w:bCs/>
                <w:sz w:val="21"/>
                <w:szCs w:val="21"/>
              </w:rPr>
              <w:t>Yang Cao</w:t>
            </w:r>
          </w:p>
        </w:tc>
        <w:tc>
          <w:tcPr>
            <w:tcW w:w="608" w:type="dxa"/>
            <w:shd w:val="clear" w:color="auto" w:fill="auto"/>
            <w:noWrap/>
            <w:vAlign w:val="center"/>
          </w:tcPr>
          <w:p w14:paraId="6DD2C38A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hAnsiTheme="minorHAnsi" w:eastAsiaTheme="minorEastAsia" w:cstheme="minorBidi"/>
                <w:kern w:val="2"/>
                <w:sz w:val="21"/>
                <w:szCs w:val="28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/>
                <w:sz w:val="21"/>
                <w:szCs w:val="21"/>
              </w:rPr>
              <w:t>4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451E61C3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hAnsiTheme="minorHAnsi" w:eastAsiaTheme="minorEastAsia" w:cstheme="minorBidi"/>
                <w:kern w:val="2"/>
                <w:sz w:val="21"/>
                <w:szCs w:val="28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/>
                <w:sz w:val="21"/>
                <w:szCs w:val="21"/>
              </w:rPr>
              <w:t>SCI</w:t>
            </w:r>
          </w:p>
        </w:tc>
        <w:tc>
          <w:tcPr>
            <w:tcW w:w="827" w:type="dxa"/>
            <w:shd w:val="clear" w:color="auto" w:fill="auto"/>
            <w:noWrap/>
            <w:vAlign w:val="center"/>
          </w:tcPr>
          <w:p w14:paraId="79BEA810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hAnsiTheme="minorHAnsi" w:eastAsiaTheme="minorEastAsia" w:cstheme="minorBidi"/>
                <w:kern w:val="2"/>
                <w:sz w:val="21"/>
                <w:szCs w:val="28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/>
                <w:sz w:val="21"/>
                <w:szCs w:val="21"/>
                <w:lang w:val="en-US" w:eastAsia="zh-CN"/>
              </w:rPr>
              <w:t>一</w:t>
            </w:r>
            <w:r>
              <w:rPr>
                <w:rFonts w:hint="eastAsia" w:ascii="Times New Roman"/>
                <w:sz w:val="21"/>
                <w:szCs w:val="21"/>
              </w:rPr>
              <w:t>区</w:t>
            </w:r>
          </w:p>
        </w:tc>
        <w:tc>
          <w:tcPr>
            <w:tcW w:w="645" w:type="dxa"/>
            <w:shd w:val="clear" w:color="auto" w:fill="auto"/>
            <w:noWrap/>
            <w:vAlign w:val="center"/>
          </w:tcPr>
          <w:p w14:paraId="30E16772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Theme="minorHAnsi" w:eastAsiaTheme="minorEastAsia" w:cstheme="minorBidi"/>
                <w:kern w:val="2"/>
                <w:sz w:val="21"/>
                <w:szCs w:val="28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/>
                <w:sz w:val="21"/>
                <w:szCs w:val="28"/>
                <w:lang w:val="en-US" w:eastAsia="zh-CN"/>
              </w:rPr>
              <w:t>否</w:t>
            </w:r>
          </w:p>
        </w:tc>
      </w:tr>
      <w:tr w14:paraId="14DDDE0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  <w:jc w:val="center"/>
        </w:trPr>
        <w:tc>
          <w:tcPr>
            <w:tcW w:w="528" w:type="dxa"/>
            <w:noWrap/>
            <w:vAlign w:val="center"/>
          </w:tcPr>
          <w:p w14:paraId="6AB508DD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color w:val="FF0000"/>
                <w:sz w:val="21"/>
                <w:szCs w:val="21"/>
                <w:lang w:val="en-US" w:eastAsia="zh-CN"/>
              </w:rPr>
              <w:t>4</w:t>
            </w:r>
          </w:p>
        </w:tc>
        <w:tc>
          <w:tcPr>
            <w:tcW w:w="1781" w:type="dxa"/>
            <w:noWrap/>
            <w:vAlign w:val="center"/>
          </w:tcPr>
          <w:p w14:paraId="7DCF7C4D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1"/>
              </w:rPr>
              <w:t>A novel method to predict residual stress by coupling the phase transition effect for LA103Z Mg-Li alloy milling/《Journal of Manufacturing Processes》/Zhijun Chen, Lingyun Qian, Jinguang Du, Ruikang Cui, Qingdong Zhang</w:t>
            </w:r>
          </w:p>
        </w:tc>
        <w:tc>
          <w:tcPr>
            <w:tcW w:w="1534" w:type="dxa"/>
            <w:noWrap/>
            <w:vAlign w:val="center"/>
          </w:tcPr>
          <w:p w14:paraId="68C1480C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1"/>
              </w:rPr>
              <w:t>2024年124卷936-953</w:t>
            </w:r>
          </w:p>
        </w:tc>
        <w:tc>
          <w:tcPr>
            <w:tcW w:w="760" w:type="dxa"/>
            <w:noWrap/>
            <w:vAlign w:val="center"/>
          </w:tcPr>
          <w:p w14:paraId="0D8AACBB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eastAsiaTheme="minorEastAsia"/>
                <w:sz w:val="21"/>
                <w:szCs w:val="28"/>
                <w:lang w:eastAsia="zh-CN"/>
              </w:rPr>
            </w:pPr>
            <w:r>
              <w:rPr>
                <w:rFonts w:hint="eastAsia" w:ascii="Times New Roman"/>
                <w:sz w:val="21"/>
                <w:szCs w:val="21"/>
              </w:rPr>
              <w:t>202</w:t>
            </w:r>
            <w:r>
              <w:rPr>
                <w:rFonts w:hint="eastAsia" w:ascii="Times New Roman"/>
                <w:sz w:val="21"/>
                <w:szCs w:val="21"/>
                <w:lang w:val="en-US" w:eastAsia="zh-CN"/>
              </w:rPr>
              <w:t>4</w:t>
            </w:r>
            <w:r>
              <w:rPr>
                <w:rFonts w:hint="eastAsia" w:ascii="Times New Roman"/>
                <w:sz w:val="21"/>
                <w:szCs w:val="21"/>
              </w:rPr>
              <w:t>-0</w:t>
            </w:r>
            <w:r>
              <w:rPr>
                <w:rFonts w:hint="eastAsia" w:ascii="Times New Roman"/>
                <w:sz w:val="21"/>
                <w:szCs w:val="21"/>
                <w:lang w:val="en-US" w:eastAsia="zh-CN"/>
              </w:rPr>
              <w:t>7</w:t>
            </w:r>
            <w:r>
              <w:rPr>
                <w:rFonts w:hint="eastAsia" w:ascii="Times New Roman"/>
                <w:sz w:val="21"/>
                <w:szCs w:val="21"/>
              </w:rPr>
              <w:t>-0</w:t>
            </w:r>
            <w:r>
              <w:rPr>
                <w:rFonts w:hint="eastAsia" w:ascii="Times New Roman"/>
                <w:sz w:val="21"/>
                <w:szCs w:val="21"/>
                <w:lang w:val="en-US" w:eastAsia="zh-CN"/>
              </w:rPr>
              <w:t>2</w:t>
            </w:r>
          </w:p>
        </w:tc>
        <w:tc>
          <w:tcPr>
            <w:tcW w:w="720" w:type="dxa"/>
            <w:noWrap/>
            <w:vAlign w:val="center"/>
          </w:tcPr>
          <w:p w14:paraId="15CBA2D2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1"/>
              </w:rPr>
              <w:t>Lingyun Qian, Qingdong Zhang</w:t>
            </w:r>
          </w:p>
        </w:tc>
        <w:tc>
          <w:tcPr>
            <w:tcW w:w="693" w:type="dxa"/>
            <w:noWrap/>
            <w:vAlign w:val="center"/>
          </w:tcPr>
          <w:p w14:paraId="7E6004A5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1"/>
              </w:rPr>
              <w:t>Zhijun Chen</w:t>
            </w:r>
          </w:p>
        </w:tc>
        <w:tc>
          <w:tcPr>
            <w:tcW w:w="773" w:type="dxa"/>
            <w:noWrap/>
            <w:vAlign w:val="center"/>
          </w:tcPr>
          <w:p w14:paraId="1FF13EAB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1"/>
              </w:rPr>
              <w:t>University of Science and Technology Beijing</w:t>
            </w:r>
          </w:p>
        </w:tc>
        <w:tc>
          <w:tcPr>
            <w:tcW w:w="859" w:type="dxa"/>
            <w:noWrap/>
            <w:vAlign w:val="center"/>
          </w:tcPr>
          <w:p w14:paraId="057AA0F5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b/>
                <w:bCs/>
                <w:sz w:val="21"/>
                <w:szCs w:val="21"/>
              </w:rPr>
              <w:t xml:space="preserve">Zhijun Chen, Lingyun Qian, </w:t>
            </w:r>
            <w:r>
              <w:rPr>
                <w:rFonts w:hint="eastAsia" w:ascii="Times New Roman"/>
                <w:sz w:val="21"/>
                <w:szCs w:val="21"/>
              </w:rPr>
              <w:t>Jinguang Du, Ruikang Cui, Qingdong Zhang</w:t>
            </w:r>
          </w:p>
        </w:tc>
        <w:tc>
          <w:tcPr>
            <w:tcW w:w="608" w:type="dxa"/>
            <w:noWrap/>
            <w:vAlign w:val="center"/>
          </w:tcPr>
          <w:p w14:paraId="3750B621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eastAsiaTheme="minorEastAsia"/>
                <w:sz w:val="21"/>
                <w:szCs w:val="28"/>
                <w:lang w:eastAsia="zh-CN"/>
              </w:rPr>
            </w:pPr>
            <w:r>
              <w:rPr>
                <w:rFonts w:hint="eastAsia" w:ascii="Times New Roman"/>
                <w:sz w:val="21"/>
                <w:szCs w:val="21"/>
                <w:lang w:val="en-US" w:eastAsia="zh-CN"/>
              </w:rPr>
              <w:t>3</w:t>
            </w:r>
          </w:p>
        </w:tc>
        <w:tc>
          <w:tcPr>
            <w:tcW w:w="760" w:type="dxa"/>
            <w:noWrap/>
            <w:vAlign w:val="center"/>
          </w:tcPr>
          <w:p w14:paraId="0ED2AA97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1"/>
              </w:rPr>
              <w:t>SCI</w:t>
            </w:r>
          </w:p>
        </w:tc>
        <w:tc>
          <w:tcPr>
            <w:tcW w:w="827" w:type="dxa"/>
            <w:noWrap/>
            <w:vAlign w:val="center"/>
          </w:tcPr>
          <w:p w14:paraId="0D41D91B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1"/>
                <w:lang w:val="en-US" w:eastAsia="zh-CN"/>
              </w:rPr>
              <w:t>二</w:t>
            </w:r>
            <w:r>
              <w:rPr>
                <w:rFonts w:hint="eastAsia" w:ascii="Times New Roman"/>
                <w:sz w:val="21"/>
                <w:szCs w:val="21"/>
              </w:rPr>
              <w:t>区</w:t>
            </w:r>
          </w:p>
        </w:tc>
        <w:tc>
          <w:tcPr>
            <w:tcW w:w="645" w:type="dxa"/>
            <w:noWrap/>
            <w:vAlign w:val="center"/>
          </w:tcPr>
          <w:p w14:paraId="051F9211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  <w:lang w:val="en-US" w:eastAsia="zh-CN"/>
              </w:rPr>
              <w:t>否</w:t>
            </w:r>
          </w:p>
        </w:tc>
      </w:tr>
      <w:tr w14:paraId="462FDED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  <w:jc w:val="center"/>
        </w:trPr>
        <w:tc>
          <w:tcPr>
            <w:tcW w:w="528" w:type="dxa"/>
            <w:noWrap/>
            <w:vAlign w:val="center"/>
          </w:tcPr>
          <w:p w14:paraId="5D29A2D9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eastAsiaTheme="minorEastAsia"/>
                <w:sz w:val="21"/>
                <w:szCs w:val="28"/>
                <w:lang w:eastAsia="zh-CN"/>
              </w:rPr>
            </w:pPr>
            <w:r>
              <w:rPr>
                <w:rFonts w:hint="eastAsia" w:ascii="Times New Roman"/>
                <w:color w:val="FF0000"/>
                <w:sz w:val="21"/>
                <w:szCs w:val="21"/>
                <w:lang w:val="en-US" w:eastAsia="zh-CN"/>
              </w:rPr>
              <w:t>5</w:t>
            </w:r>
          </w:p>
        </w:tc>
        <w:tc>
          <w:tcPr>
            <w:tcW w:w="1781" w:type="dxa"/>
            <w:shd w:val="clear" w:color="auto" w:fill="auto"/>
            <w:noWrap/>
            <w:vAlign w:val="center"/>
          </w:tcPr>
          <w:p w14:paraId="2E56C65A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Theme="minorHAnsi" w:eastAsiaTheme="minorEastAsia" w:cstheme="minorBidi"/>
                <w:kern w:val="2"/>
                <w:sz w:val="21"/>
                <w:szCs w:val="28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/>
                <w:sz w:val="21"/>
                <w:szCs w:val="21"/>
              </w:rPr>
              <w:t>Reinforcing effect of laminate structure on the fracture toughness of Al</w:t>
            </w:r>
            <w:r>
              <w:rPr>
                <w:rFonts w:ascii="Times New Roman"/>
                <w:sz w:val="21"/>
                <w:szCs w:val="21"/>
                <w:vertAlign w:val="subscript"/>
              </w:rPr>
              <w:t>3</w:t>
            </w:r>
            <w:r>
              <w:rPr>
                <w:rFonts w:hint="eastAsia" w:ascii="Times New Roman"/>
                <w:sz w:val="21"/>
                <w:szCs w:val="21"/>
              </w:rPr>
              <w:t>Ti intermetallic/《International Journal of Minerals, Metallurgy and Materials》/Yang Cao, Dandan Zhang, Peijun Zhou, Kun Liu, Wuyi Ming, Jun Ma</w:t>
            </w:r>
          </w:p>
        </w:tc>
        <w:tc>
          <w:tcPr>
            <w:tcW w:w="1534" w:type="dxa"/>
            <w:shd w:val="clear" w:color="auto" w:fill="auto"/>
            <w:noWrap/>
            <w:vAlign w:val="center"/>
          </w:tcPr>
          <w:p w14:paraId="46F9FEC8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Theme="minorHAnsi" w:eastAsiaTheme="minorEastAsia" w:cstheme="minorBidi"/>
                <w:kern w:val="2"/>
                <w:sz w:val="21"/>
                <w:szCs w:val="28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/>
                <w:sz w:val="21"/>
                <w:szCs w:val="21"/>
              </w:rPr>
              <w:t>2020年27卷678-686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7D30F62B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Theme="minorHAnsi" w:eastAsiaTheme="minorEastAsia" w:cstheme="minorBidi"/>
                <w:kern w:val="2"/>
                <w:sz w:val="21"/>
                <w:szCs w:val="28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/>
                <w:sz w:val="21"/>
                <w:szCs w:val="21"/>
              </w:rPr>
              <w:t>2020-05-20</w:t>
            </w:r>
          </w:p>
        </w:tc>
        <w:tc>
          <w:tcPr>
            <w:tcW w:w="720" w:type="dxa"/>
            <w:shd w:val="clear" w:color="auto" w:fill="auto"/>
            <w:noWrap/>
            <w:vAlign w:val="center"/>
          </w:tcPr>
          <w:p w14:paraId="0E9A8AF3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Theme="minorHAnsi" w:eastAsiaTheme="minorEastAsia" w:cstheme="minorBidi"/>
                <w:kern w:val="2"/>
                <w:sz w:val="21"/>
                <w:szCs w:val="28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/>
                <w:sz w:val="21"/>
                <w:szCs w:val="21"/>
              </w:rPr>
              <w:t>Jun Ma</w:t>
            </w:r>
          </w:p>
        </w:tc>
        <w:tc>
          <w:tcPr>
            <w:tcW w:w="693" w:type="dxa"/>
            <w:shd w:val="clear" w:color="auto" w:fill="auto"/>
            <w:noWrap/>
            <w:vAlign w:val="center"/>
          </w:tcPr>
          <w:p w14:paraId="36B1BDD9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Theme="minorHAnsi" w:eastAsiaTheme="minorEastAsia" w:cstheme="minorBidi"/>
                <w:kern w:val="2"/>
                <w:sz w:val="21"/>
                <w:szCs w:val="28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/>
                <w:sz w:val="21"/>
                <w:szCs w:val="21"/>
              </w:rPr>
              <w:t>Yang Cao</w:t>
            </w:r>
          </w:p>
        </w:tc>
        <w:tc>
          <w:tcPr>
            <w:tcW w:w="773" w:type="dxa"/>
            <w:shd w:val="clear" w:color="auto" w:fill="auto"/>
            <w:noWrap/>
            <w:vAlign w:val="center"/>
          </w:tcPr>
          <w:p w14:paraId="63E24F9B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Theme="minorHAnsi" w:eastAsiaTheme="minorEastAsia" w:cstheme="minorBidi"/>
                <w:kern w:val="2"/>
                <w:sz w:val="21"/>
                <w:szCs w:val="28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/>
                <w:sz w:val="21"/>
                <w:szCs w:val="21"/>
              </w:rPr>
              <w:t>Zhengzhou University of Light Industry</w:t>
            </w:r>
          </w:p>
        </w:tc>
        <w:tc>
          <w:tcPr>
            <w:tcW w:w="859" w:type="dxa"/>
            <w:shd w:val="clear" w:color="auto" w:fill="auto"/>
            <w:noWrap/>
            <w:vAlign w:val="center"/>
          </w:tcPr>
          <w:p w14:paraId="28C049CB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Theme="minorHAnsi" w:eastAsiaTheme="minorEastAsia" w:cstheme="minorBidi"/>
                <w:kern w:val="2"/>
                <w:sz w:val="21"/>
                <w:szCs w:val="28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/>
                <w:b/>
                <w:bCs/>
                <w:sz w:val="21"/>
                <w:szCs w:val="21"/>
              </w:rPr>
              <w:t xml:space="preserve">Yang Cao, </w:t>
            </w:r>
            <w:r>
              <w:rPr>
                <w:rFonts w:hint="eastAsia" w:ascii="Times New Roman"/>
                <w:sz w:val="21"/>
                <w:szCs w:val="21"/>
              </w:rPr>
              <w:t xml:space="preserve">Dandan Zhang, Peijun Zhou, </w:t>
            </w:r>
            <w:r>
              <w:rPr>
                <w:rFonts w:hint="eastAsia" w:ascii="Times New Roman"/>
                <w:b/>
                <w:bCs/>
                <w:sz w:val="21"/>
                <w:szCs w:val="21"/>
              </w:rPr>
              <w:t xml:space="preserve">Kun Liu, </w:t>
            </w:r>
            <w:r>
              <w:rPr>
                <w:rFonts w:hint="eastAsia" w:ascii="Times New Roman"/>
                <w:sz w:val="21"/>
                <w:szCs w:val="21"/>
              </w:rPr>
              <w:t xml:space="preserve">Wuyi Ming, </w:t>
            </w:r>
            <w:r>
              <w:rPr>
                <w:rFonts w:hint="eastAsia" w:ascii="Times New Roman"/>
                <w:b/>
                <w:bCs/>
                <w:sz w:val="21"/>
                <w:szCs w:val="21"/>
              </w:rPr>
              <w:t>Jun Ma</w:t>
            </w:r>
          </w:p>
        </w:tc>
        <w:tc>
          <w:tcPr>
            <w:tcW w:w="608" w:type="dxa"/>
            <w:shd w:val="clear" w:color="auto" w:fill="auto"/>
            <w:noWrap/>
            <w:vAlign w:val="center"/>
          </w:tcPr>
          <w:p w14:paraId="2DFF378C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Theme="minorHAnsi" w:eastAsiaTheme="minorEastAsia" w:cstheme="minorBidi"/>
                <w:kern w:val="2"/>
                <w:sz w:val="21"/>
                <w:szCs w:val="28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/>
                <w:sz w:val="21"/>
                <w:szCs w:val="21"/>
                <w:lang w:val="en-US" w:eastAsia="zh-CN"/>
              </w:rPr>
              <w:t>11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2BD4CE3C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Theme="minorHAnsi" w:eastAsiaTheme="minorEastAsia" w:cstheme="minorBidi"/>
                <w:kern w:val="2"/>
                <w:sz w:val="21"/>
                <w:szCs w:val="28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/>
                <w:sz w:val="21"/>
                <w:szCs w:val="21"/>
              </w:rPr>
              <w:t>SCI</w:t>
            </w:r>
          </w:p>
        </w:tc>
        <w:tc>
          <w:tcPr>
            <w:tcW w:w="827" w:type="dxa"/>
            <w:shd w:val="clear" w:color="auto" w:fill="auto"/>
            <w:noWrap/>
            <w:vAlign w:val="center"/>
          </w:tcPr>
          <w:p w14:paraId="45768C4B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Theme="minorHAnsi" w:eastAsiaTheme="minorEastAsia" w:cstheme="minorBidi"/>
                <w:kern w:val="2"/>
                <w:sz w:val="21"/>
                <w:szCs w:val="28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/>
                <w:sz w:val="21"/>
                <w:szCs w:val="21"/>
                <w:lang w:val="en-US" w:eastAsia="zh-CN"/>
              </w:rPr>
              <w:t>二</w:t>
            </w:r>
            <w:r>
              <w:rPr>
                <w:rFonts w:hint="eastAsia" w:ascii="Times New Roman"/>
                <w:sz w:val="21"/>
                <w:szCs w:val="21"/>
              </w:rPr>
              <w:t>区</w:t>
            </w:r>
          </w:p>
        </w:tc>
        <w:tc>
          <w:tcPr>
            <w:tcW w:w="645" w:type="dxa"/>
            <w:noWrap/>
            <w:vAlign w:val="center"/>
          </w:tcPr>
          <w:p w14:paraId="5192C7FE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  <w:lang w:val="en-US" w:eastAsia="zh-CN"/>
              </w:rPr>
              <w:t>否</w:t>
            </w:r>
          </w:p>
        </w:tc>
      </w:tr>
      <w:tr w14:paraId="229C7A3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6" w:hRule="atLeast"/>
          <w:jc w:val="center"/>
        </w:trPr>
        <w:tc>
          <w:tcPr>
            <w:tcW w:w="528" w:type="dxa"/>
            <w:noWrap/>
            <w:vAlign w:val="center"/>
          </w:tcPr>
          <w:p w14:paraId="1D0DE105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eastAsia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/>
                <w:color w:val="FF0000"/>
                <w:sz w:val="21"/>
                <w:szCs w:val="21"/>
                <w:lang w:val="en-US" w:eastAsia="zh-CN"/>
              </w:rPr>
              <w:t>6</w:t>
            </w:r>
          </w:p>
        </w:tc>
        <w:tc>
          <w:tcPr>
            <w:tcW w:w="1781" w:type="dxa"/>
            <w:shd w:val="clear" w:color="auto" w:fill="auto"/>
            <w:noWrap/>
            <w:vAlign w:val="center"/>
          </w:tcPr>
          <w:p w14:paraId="7E67CCCC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Theme="minorHAnsi" w:eastAsiaTheme="minorEastAsia" w:cstheme="minorBidi"/>
                <w:kern w:val="2"/>
                <w:sz w:val="21"/>
                <w:szCs w:val="28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/>
                <w:sz w:val="21"/>
                <w:szCs w:val="21"/>
              </w:rPr>
              <w:t xml:space="preserve">Laser </w:t>
            </w:r>
            <w:r>
              <w:rPr>
                <w:rFonts w:hint="eastAsia" w:ascii="Times New Roman"/>
                <w:sz w:val="21"/>
                <w:szCs w:val="21"/>
                <w:lang w:val="en-US" w:eastAsia="zh-CN"/>
              </w:rPr>
              <w:t>c</w:t>
            </w:r>
            <w:r>
              <w:rPr>
                <w:rFonts w:hint="eastAsia" w:ascii="Times New Roman"/>
                <w:sz w:val="21"/>
                <w:szCs w:val="21"/>
              </w:rPr>
              <w:t xml:space="preserve">ladding </w:t>
            </w:r>
            <w:r>
              <w:rPr>
                <w:rFonts w:hint="eastAsia" w:ascii="Times New Roman"/>
                <w:sz w:val="21"/>
                <w:szCs w:val="21"/>
                <w:lang w:val="en-US" w:eastAsia="zh-CN"/>
              </w:rPr>
              <w:t>p</w:t>
            </w:r>
            <w:r>
              <w:rPr>
                <w:rFonts w:hint="eastAsia" w:ascii="Times New Roman"/>
                <w:sz w:val="21"/>
                <w:szCs w:val="21"/>
              </w:rPr>
              <w:t xml:space="preserve">erformance and </w:t>
            </w:r>
            <w:r>
              <w:rPr>
                <w:rFonts w:hint="eastAsia" w:ascii="Times New Roman"/>
                <w:sz w:val="21"/>
                <w:szCs w:val="21"/>
                <w:lang w:val="en-US" w:eastAsia="zh-CN"/>
              </w:rPr>
              <w:t>p</w:t>
            </w:r>
            <w:r>
              <w:rPr>
                <w:rFonts w:hint="eastAsia" w:ascii="Times New Roman"/>
                <w:sz w:val="21"/>
                <w:szCs w:val="21"/>
              </w:rPr>
              <w:t xml:space="preserve">rocess </w:t>
            </w:r>
            <w:r>
              <w:rPr>
                <w:rFonts w:hint="eastAsia" w:ascii="Times New Roman"/>
                <w:sz w:val="21"/>
                <w:szCs w:val="21"/>
                <w:lang w:val="en-US" w:eastAsia="zh-CN"/>
              </w:rPr>
              <w:t>p</w:t>
            </w:r>
            <w:r>
              <w:rPr>
                <w:rFonts w:hint="eastAsia" w:ascii="Times New Roman"/>
                <w:sz w:val="21"/>
                <w:szCs w:val="21"/>
              </w:rPr>
              <w:t xml:space="preserve">arameter Optimization for Fe90 Alloy/《Metals》/Yang Cao, Chenye Yuan, Yanchao Zhang, Jun Ma </w:t>
            </w:r>
          </w:p>
        </w:tc>
        <w:tc>
          <w:tcPr>
            <w:tcW w:w="1534" w:type="dxa"/>
            <w:shd w:val="clear" w:color="auto" w:fill="auto"/>
            <w:noWrap/>
            <w:vAlign w:val="center"/>
          </w:tcPr>
          <w:p w14:paraId="1CC03E55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Theme="minorHAnsi" w:eastAsiaTheme="minorEastAsia" w:cstheme="minorBidi"/>
                <w:kern w:val="2"/>
                <w:sz w:val="21"/>
                <w:szCs w:val="28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/>
                <w:sz w:val="21"/>
                <w:szCs w:val="21"/>
              </w:rPr>
              <w:t>2024年14卷1432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477F6E32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Theme="minorHAnsi" w:eastAsiaTheme="minorEastAsia" w:cstheme="minorBidi"/>
                <w:kern w:val="2"/>
                <w:sz w:val="21"/>
                <w:szCs w:val="28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/>
                <w:sz w:val="21"/>
                <w:szCs w:val="21"/>
              </w:rPr>
              <w:t>2024-12-19</w:t>
            </w:r>
          </w:p>
        </w:tc>
        <w:tc>
          <w:tcPr>
            <w:tcW w:w="720" w:type="dxa"/>
            <w:shd w:val="clear" w:color="auto" w:fill="auto"/>
            <w:noWrap/>
            <w:vAlign w:val="center"/>
          </w:tcPr>
          <w:p w14:paraId="465470D4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Theme="minorHAnsi" w:eastAsiaTheme="minorEastAsia" w:cstheme="minorBidi"/>
                <w:kern w:val="2"/>
                <w:sz w:val="21"/>
                <w:szCs w:val="28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/>
                <w:sz w:val="21"/>
                <w:szCs w:val="21"/>
              </w:rPr>
              <w:t>Yang Cao</w:t>
            </w:r>
          </w:p>
        </w:tc>
        <w:tc>
          <w:tcPr>
            <w:tcW w:w="693" w:type="dxa"/>
            <w:shd w:val="clear" w:color="auto" w:fill="auto"/>
            <w:noWrap/>
            <w:vAlign w:val="center"/>
          </w:tcPr>
          <w:p w14:paraId="61B31987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hAnsiTheme="minorHAnsi" w:eastAsiaTheme="minorEastAsia" w:cstheme="minorBidi"/>
                <w:kern w:val="2"/>
                <w:sz w:val="21"/>
                <w:szCs w:val="28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/>
                <w:sz w:val="21"/>
                <w:szCs w:val="21"/>
              </w:rPr>
              <w:t>Yang Cao</w:t>
            </w:r>
          </w:p>
        </w:tc>
        <w:tc>
          <w:tcPr>
            <w:tcW w:w="773" w:type="dxa"/>
            <w:shd w:val="clear" w:color="auto" w:fill="auto"/>
            <w:noWrap/>
            <w:vAlign w:val="center"/>
          </w:tcPr>
          <w:p w14:paraId="1A52E165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hAnsiTheme="minorHAnsi" w:eastAsiaTheme="minorEastAsia" w:cstheme="minorBidi"/>
                <w:kern w:val="2"/>
                <w:sz w:val="21"/>
                <w:szCs w:val="28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/>
                <w:sz w:val="21"/>
                <w:szCs w:val="21"/>
              </w:rPr>
              <w:t>Zhengzhou University of Light Industry</w:t>
            </w:r>
          </w:p>
        </w:tc>
        <w:tc>
          <w:tcPr>
            <w:tcW w:w="859" w:type="dxa"/>
            <w:shd w:val="clear" w:color="auto" w:fill="auto"/>
            <w:noWrap/>
            <w:vAlign w:val="center"/>
          </w:tcPr>
          <w:p w14:paraId="360D2ED5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hAnsiTheme="minorHAnsi" w:eastAsiaTheme="minorEastAsia" w:cstheme="minorBidi"/>
                <w:kern w:val="2"/>
                <w:sz w:val="21"/>
                <w:szCs w:val="28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/>
                <w:b/>
                <w:bCs/>
                <w:sz w:val="21"/>
                <w:szCs w:val="21"/>
              </w:rPr>
              <w:t>Yang Cao,</w:t>
            </w:r>
            <w:r>
              <w:rPr>
                <w:rFonts w:hint="eastAsia" w:ascii="Times New Roman"/>
                <w:sz w:val="21"/>
                <w:szCs w:val="21"/>
              </w:rPr>
              <w:t xml:space="preserve"> Chenye Yuan, Yanchao Zhang, </w:t>
            </w:r>
            <w:r>
              <w:rPr>
                <w:rFonts w:hint="eastAsia" w:ascii="Times New Roman"/>
                <w:b/>
                <w:bCs/>
                <w:sz w:val="21"/>
                <w:szCs w:val="21"/>
              </w:rPr>
              <w:t>Jun Ma</w:t>
            </w:r>
          </w:p>
        </w:tc>
        <w:tc>
          <w:tcPr>
            <w:tcW w:w="608" w:type="dxa"/>
            <w:shd w:val="clear" w:color="auto" w:fill="auto"/>
            <w:noWrap/>
            <w:vAlign w:val="center"/>
          </w:tcPr>
          <w:p w14:paraId="5BBC3D49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Theme="minorHAnsi" w:eastAsiaTheme="minorEastAsia" w:cstheme="minorBidi"/>
                <w:kern w:val="2"/>
                <w:sz w:val="21"/>
                <w:szCs w:val="28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/>
                <w:sz w:val="21"/>
                <w:szCs w:val="21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7993584F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Theme="minorHAnsi" w:eastAsiaTheme="minorEastAsia" w:cstheme="minorBidi"/>
                <w:kern w:val="2"/>
                <w:sz w:val="21"/>
                <w:szCs w:val="28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/>
                <w:sz w:val="21"/>
                <w:szCs w:val="21"/>
              </w:rPr>
              <w:t>SCI</w:t>
            </w:r>
          </w:p>
        </w:tc>
        <w:tc>
          <w:tcPr>
            <w:tcW w:w="827" w:type="dxa"/>
            <w:shd w:val="clear" w:color="auto" w:fill="auto"/>
            <w:noWrap/>
            <w:vAlign w:val="center"/>
          </w:tcPr>
          <w:p w14:paraId="6718E1B8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Theme="minorHAnsi" w:eastAsiaTheme="minorEastAsia" w:cstheme="minorBidi"/>
                <w:kern w:val="2"/>
                <w:sz w:val="21"/>
                <w:szCs w:val="28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/>
                <w:sz w:val="21"/>
                <w:szCs w:val="21"/>
              </w:rPr>
              <w:t>三区</w:t>
            </w:r>
          </w:p>
        </w:tc>
        <w:tc>
          <w:tcPr>
            <w:tcW w:w="645" w:type="dxa"/>
            <w:noWrap/>
            <w:vAlign w:val="center"/>
          </w:tcPr>
          <w:p w14:paraId="2AA4BF03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  <w:lang w:val="en-US" w:eastAsia="zh-CN"/>
              </w:rPr>
              <w:t>否</w:t>
            </w:r>
          </w:p>
        </w:tc>
      </w:tr>
      <w:tr w14:paraId="0C1D8BC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1" w:hRule="atLeast"/>
          <w:jc w:val="center"/>
        </w:trPr>
        <w:tc>
          <w:tcPr>
            <w:tcW w:w="528" w:type="dxa"/>
            <w:noWrap/>
            <w:vAlign w:val="center"/>
          </w:tcPr>
          <w:p w14:paraId="6D883D7A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eastAsia="宋体"/>
                <w:sz w:val="21"/>
                <w:szCs w:val="28"/>
                <w:lang w:eastAsia="zh-CN"/>
              </w:rPr>
            </w:pPr>
            <w:r>
              <w:rPr>
                <w:rFonts w:hint="eastAsia" w:ascii="Times New Roman"/>
                <w:color w:val="FF0000"/>
                <w:sz w:val="21"/>
                <w:szCs w:val="21"/>
                <w:lang w:val="en-US" w:eastAsia="zh-CN"/>
              </w:rPr>
              <w:t>7</w:t>
            </w:r>
          </w:p>
        </w:tc>
        <w:tc>
          <w:tcPr>
            <w:tcW w:w="1781" w:type="dxa"/>
            <w:shd w:val="clear" w:color="auto" w:fill="auto"/>
            <w:noWrap/>
            <w:vAlign w:val="center"/>
          </w:tcPr>
          <w:p w14:paraId="4DEC53BA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Theme="minorHAnsi" w:eastAsiaTheme="minorEastAsia" w:cstheme="minorBidi"/>
                <w:kern w:val="2"/>
                <w:sz w:val="21"/>
                <w:szCs w:val="28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/>
                <w:sz w:val="21"/>
                <w:szCs w:val="21"/>
              </w:rPr>
              <w:t>Machining-induced residual stress and deformation during Mg-Li alloy thin-walled rib-web parts milling/《Proceedings of the Institution of Mechanical Engineers Part B-Journal of Engineering Manufacture》/Zhijun Chen, Lingyun Qian, Xiaoyuan Ji, Qingdong Zhang, Tengbowen Wei, Jingju Chen, Sufeng Hao</w:t>
            </w:r>
          </w:p>
        </w:tc>
        <w:tc>
          <w:tcPr>
            <w:tcW w:w="1534" w:type="dxa"/>
            <w:shd w:val="clear" w:color="auto" w:fill="auto"/>
            <w:noWrap/>
            <w:vAlign w:val="center"/>
          </w:tcPr>
          <w:p w14:paraId="0F296C12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Theme="minorHAnsi" w:eastAsiaTheme="minorEastAsia" w:cstheme="minorBidi"/>
                <w:kern w:val="2"/>
                <w:sz w:val="21"/>
                <w:szCs w:val="28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/>
                <w:sz w:val="21"/>
                <w:szCs w:val="21"/>
              </w:rPr>
              <w:t>2024年0卷1-13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402614DE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Theme="minorHAnsi" w:eastAsiaTheme="minorEastAsia" w:cstheme="minorBidi"/>
                <w:kern w:val="2"/>
                <w:sz w:val="21"/>
                <w:szCs w:val="28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/>
                <w:sz w:val="21"/>
                <w:szCs w:val="21"/>
              </w:rPr>
              <w:t>2024-12-25</w:t>
            </w:r>
          </w:p>
        </w:tc>
        <w:tc>
          <w:tcPr>
            <w:tcW w:w="720" w:type="dxa"/>
            <w:shd w:val="clear" w:color="auto" w:fill="auto"/>
            <w:noWrap/>
            <w:vAlign w:val="center"/>
          </w:tcPr>
          <w:p w14:paraId="24F4111C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Theme="minorHAnsi" w:eastAsiaTheme="minorEastAsia" w:cstheme="minorBidi"/>
                <w:kern w:val="2"/>
                <w:sz w:val="21"/>
                <w:szCs w:val="28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/>
                <w:sz w:val="21"/>
                <w:szCs w:val="21"/>
              </w:rPr>
              <w:t>Lingyun Qian, Qingdong Zhang</w:t>
            </w:r>
          </w:p>
        </w:tc>
        <w:tc>
          <w:tcPr>
            <w:tcW w:w="693" w:type="dxa"/>
            <w:shd w:val="clear" w:color="auto" w:fill="auto"/>
            <w:noWrap/>
            <w:vAlign w:val="center"/>
          </w:tcPr>
          <w:p w14:paraId="565CBC35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Theme="minorHAnsi" w:eastAsiaTheme="minorEastAsia" w:cstheme="minorBidi"/>
                <w:kern w:val="2"/>
                <w:sz w:val="21"/>
                <w:szCs w:val="28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/>
                <w:sz w:val="21"/>
                <w:szCs w:val="21"/>
              </w:rPr>
              <w:t>Zhijun Chen</w:t>
            </w:r>
          </w:p>
        </w:tc>
        <w:tc>
          <w:tcPr>
            <w:tcW w:w="773" w:type="dxa"/>
            <w:shd w:val="clear" w:color="auto" w:fill="auto"/>
            <w:noWrap/>
            <w:vAlign w:val="center"/>
          </w:tcPr>
          <w:p w14:paraId="7B216E1C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Theme="minorHAnsi" w:eastAsiaTheme="minorEastAsia" w:cstheme="minorBidi"/>
                <w:kern w:val="2"/>
                <w:sz w:val="21"/>
                <w:szCs w:val="28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/>
                <w:sz w:val="21"/>
                <w:szCs w:val="21"/>
              </w:rPr>
              <w:t>University of Science and Technology Beijing</w:t>
            </w:r>
          </w:p>
        </w:tc>
        <w:tc>
          <w:tcPr>
            <w:tcW w:w="859" w:type="dxa"/>
            <w:shd w:val="clear" w:color="auto" w:fill="auto"/>
            <w:noWrap/>
            <w:vAlign w:val="center"/>
          </w:tcPr>
          <w:p w14:paraId="526DB29C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Theme="minorHAnsi" w:eastAsiaTheme="minorEastAsia" w:cstheme="minorBidi"/>
                <w:kern w:val="2"/>
                <w:sz w:val="21"/>
                <w:szCs w:val="28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/>
                <w:b/>
                <w:bCs/>
                <w:sz w:val="21"/>
                <w:szCs w:val="21"/>
              </w:rPr>
              <w:t>Zhijun Chen, Lingyun Qian,</w:t>
            </w:r>
            <w:r>
              <w:rPr>
                <w:rFonts w:hint="eastAsia" w:ascii="Times New Roman"/>
                <w:sz w:val="21"/>
                <w:szCs w:val="21"/>
              </w:rPr>
              <w:t xml:space="preserve"> Xiaoyuan Ji, Qingdong Zhang, Tengbowen Wei, </w:t>
            </w:r>
            <w:r>
              <w:rPr>
                <w:rFonts w:hint="eastAsia" w:ascii="Times New Roman"/>
                <w:b/>
                <w:bCs/>
                <w:sz w:val="21"/>
                <w:szCs w:val="21"/>
              </w:rPr>
              <w:t xml:space="preserve">Jingju Chen, </w:t>
            </w:r>
            <w:r>
              <w:rPr>
                <w:rFonts w:hint="eastAsia" w:ascii="Times New Roman"/>
                <w:sz w:val="21"/>
                <w:szCs w:val="21"/>
              </w:rPr>
              <w:t>Sufeng Hao</w:t>
            </w:r>
          </w:p>
        </w:tc>
        <w:tc>
          <w:tcPr>
            <w:tcW w:w="608" w:type="dxa"/>
            <w:shd w:val="clear" w:color="auto" w:fill="auto"/>
            <w:noWrap/>
            <w:vAlign w:val="center"/>
          </w:tcPr>
          <w:p w14:paraId="30D516CD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Theme="minorHAnsi" w:eastAsiaTheme="minorEastAsia" w:cstheme="minorBidi"/>
                <w:kern w:val="2"/>
                <w:sz w:val="21"/>
                <w:szCs w:val="28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/>
                <w:sz w:val="21"/>
                <w:szCs w:val="21"/>
              </w:rPr>
              <w:t>2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419A30C2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Theme="minorHAnsi" w:eastAsiaTheme="minorEastAsia" w:cstheme="minorBidi"/>
                <w:kern w:val="2"/>
                <w:sz w:val="21"/>
                <w:szCs w:val="28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/>
                <w:sz w:val="21"/>
                <w:szCs w:val="21"/>
              </w:rPr>
              <w:t>SCI</w:t>
            </w:r>
          </w:p>
        </w:tc>
        <w:tc>
          <w:tcPr>
            <w:tcW w:w="827" w:type="dxa"/>
            <w:shd w:val="clear" w:color="auto" w:fill="auto"/>
            <w:noWrap/>
            <w:vAlign w:val="center"/>
          </w:tcPr>
          <w:p w14:paraId="767AE276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Theme="minorHAnsi" w:eastAsiaTheme="minorEastAsia" w:cstheme="minorBidi"/>
                <w:kern w:val="2"/>
                <w:sz w:val="21"/>
                <w:szCs w:val="28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/>
                <w:sz w:val="21"/>
                <w:szCs w:val="21"/>
              </w:rPr>
              <w:t>三区</w:t>
            </w:r>
          </w:p>
        </w:tc>
        <w:tc>
          <w:tcPr>
            <w:tcW w:w="645" w:type="dxa"/>
            <w:noWrap/>
            <w:vAlign w:val="center"/>
          </w:tcPr>
          <w:p w14:paraId="78D1AF20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eastAsiaTheme="minorEastAsia"/>
                <w:sz w:val="21"/>
                <w:szCs w:val="28"/>
                <w:lang w:val="en-US" w:eastAsia="zh-CN"/>
              </w:rPr>
            </w:pPr>
            <w:r>
              <w:rPr>
                <w:rFonts w:hint="eastAsia" w:ascii="Times New Roman"/>
                <w:sz w:val="21"/>
                <w:szCs w:val="28"/>
                <w:lang w:val="en-US" w:eastAsia="zh-CN"/>
              </w:rPr>
              <w:t>否</w:t>
            </w:r>
          </w:p>
        </w:tc>
      </w:tr>
      <w:tr w14:paraId="3DFB326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6" w:hRule="atLeast"/>
          <w:jc w:val="center"/>
        </w:trPr>
        <w:tc>
          <w:tcPr>
            <w:tcW w:w="528" w:type="dxa"/>
            <w:noWrap/>
            <w:vAlign w:val="center"/>
          </w:tcPr>
          <w:p w14:paraId="157DC6F5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eastAsia="宋体"/>
                <w:sz w:val="21"/>
                <w:szCs w:val="28"/>
                <w:lang w:eastAsia="zh-CN"/>
              </w:rPr>
            </w:pPr>
            <w:r>
              <w:rPr>
                <w:rFonts w:hint="eastAsia" w:ascii="Times New Roman"/>
                <w:color w:val="FF0000"/>
                <w:sz w:val="21"/>
                <w:szCs w:val="21"/>
                <w:lang w:val="en-US" w:eastAsia="zh-CN"/>
              </w:rPr>
              <w:t>8</w:t>
            </w:r>
          </w:p>
        </w:tc>
        <w:tc>
          <w:tcPr>
            <w:tcW w:w="1781" w:type="dxa"/>
            <w:noWrap/>
            <w:vAlign w:val="center"/>
          </w:tcPr>
          <w:p w14:paraId="39433ADC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eastAsiaTheme="minorEastAsia"/>
                <w:sz w:val="21"/>
                <w:szCs w:val="28"/>
                <w:lang w:val="en-US" w:eastAsia="zh-CN"/>
              </w:rPr>
            </w:pPr>
            <w:r>
              <w:rPr>
                <w:rFonts w:hint="eastAsia" w:ascii="Times New Roman"/>
                <w:sz w:val="21"/>
                <w:szCs w:val="28"/>
                <w:lang w:val="en-US" w:eastAsia="zh-CN"/>
              </w:rPr>
              <w:t>Ti/Al3Ti叠层复合材料冲击损伤建模及失效分析/《兵器材料科学与工程》/曹阳, 张丹丹, 刘建秀, 马军</w:t>
            </w:r>
          </w:p>
        </w:tc>
        <w:tc>
          <w:tcPr>
            <w:tcW w:w="1534" w:type="dxa"/>
            <w:noWrap/>
            <w:vAlign w:val="center"/>
          </w:tcPr>
          <w:p w14:paraId="1115328F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eastAsiaTheme="minorEastAsia"/>
                <w:sz w:val="21"/>
                <w:szCs w:val="28"/>
                <w:lang w:val="en-US" w:eastAsia="zh-CN"/>
              </w:rPr>
            </w:pPr>
            <w:r>
              <w:rPr>
                <w:rFonts w:hint="eastAsia" w:ascii="Times New Roman"/>
                <w:sz w:val="21"/>
                <w:szCs w:val="28"/>
                <w:lang w:val="en-US" w:eastAsia="zh-CN"/>
              </w:rPr>
              <w:t>2019年42卷</w:t>
            </w:r>
          </w:p>
        </w:tc>
        <w:tc>
          <w:tcPr>
            <w:tcW w:w="760" w:type="dxa"/>
            <w:noWrap/>
            <w:vAlign w:val="center"/>
          </w:tcPr>
          <w:p w14:paraId="217D3768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eastAsiaTheme="minorEastAsia"/>
                <w:sz w:val="21"/>
                <w:szCs w:val="28"/>
                <w:lang w:val="en-US" w:eastAsia="zh-CN"/>
              </w:rPr>
            </w:pPr>
            <w:r>
              <w:rPr>
                <w:rFonts w:hint="eastAsia" w:ascii="Times New Roman"/>
                <w:sz w:val="21"/>
                <w:szCs w:val="28"/>
                <w:lang w:val="en-US" w:eastAsia="zh-CN"/>
              </w:rPr>
              <w:t>2019-05-01</w:t>
            </w:r>
          </w:p>
        </w:tc>
        <w:tc>
          <w:tcPr>
            <w:tcW w:w="720" w:type="dxa"/>
            <w:noWrap/>
            <w:vAlign w:val="center"/>
          </w:tcPr>
          <w:p w14:paraId="5F163B98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eastAsiaTheme="minorEastAsia"/>
                <w:sz w:val="21"/>
                <w:szCs w:val="28"/>
                <w:lang w:val="en-US" w:eastAsia="zh-CN"/>
              </w:rPr>
            </w:pPr>
            <w:r>
              <w:rPr>
                <w:rFonts w:hint="eastAsia" w:ascii="Times New Roman"/>
                <w:sz w:val="21"/>
                <w:szCs w:val="28"/>
                <w:lang w:val="en-US" w:eastAsia="zh-CN"/>
              </w:rPr>
              <w:t>马军</w:t>
            </w:r>
          </w:p>
        </w:tc>
        <w:tc>
          <w:tcPr>
            <w:tcW w:w="693" w:type="dxa"/>
            <w:noWrap/>
            <w:vAlign w:val="center"/>
          </w:tcPr>
          <w:p w14:paraId="58AD6983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eastAsiaTheme="minorEastAsia"/>
                <w:sz w:val="21"/>
                <w:szCs w:val="28"/>
                <w:lang w:val="en-US" w:eastAsia="zh-CN"/>
              </w:rPr>
            </w:pPr>
            <w:r>
              <w:rPr>
                <w:rFonts w:hint="eastAsia" w:ascii="Times New Roman"/>
                <w:sz w:val="21"/>
                <w:szCs w:val="28"/>
                <w:lang w:val="en-US" w:eastAsia="zh-CN"/>
              </w:rPr>
              <w:t>曹阳</w:t>
            </w:r>
          </w:p>
        </w:tc>
        <w:tc>
          <w:tcPr>
            <w:tcW w:w="773" w:type="dxa"/>
            <w:noWrap/>
            <w:vAlign w:val="center"/>
          </w:tcPr>
          <w:p w14:paraId="68A33D02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eastAsiaTheme="minorEastAsia"/>
                <w:sz w:val="21"/>
                <w:szCs w:val="28"/>
                <w:lang w:val="en-US" w:eastAsia="zh-CN"/>
              </w:rPr>
            </w:pPr>
            <w:r>
              <w:rPr>
                <w:rFonts w:hint="eastAsia" w:ascii="Times New Roman"/>
                <w:sz w:val="21"/>
                <w:szCs w:val="28"/>
                <w:lang w:val="en-US" w:eastAsia="zh-CN"/>
              </w:rPr>
              <w:t>郑州轻工业大学</w:t>
            </w:r>
          </w:p>
        </w:tc>
        <w:tc>
          <w:tcPr>
            <w:tcW w:w="859" w:type="dxa"/>
            <w:noWrap/>
            <w:vAlign w:val="center"/>
          </w:tcPr>
          <w:p w14:paraId="4D00A92E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b/>
                <w:bCs/>
                <w:sz w:val="21"/>
                <w:szCs w:val="28"/>
                <w:lang w:val="en-US" w:eastAsia="zh-CN"/>
              </w:rPr>
              <w:t>曹阳,</w:t>
            </w:r>
            <w:r>
              <w:rPr>
                <w:rFonts w:hint="eastAsia" w:ascii="Times New Roman"/>
                <w:sz w:val="21"/>
                <w:szCs w:val="28"/>
                <w:lang w:val="en-US" w:eastAsia="zh-CN"/>
              </w:rPr>
              <w:t xml:space="preserve"> 张丹丹, 刘建秀, </w:t>
            </w:r>
            <w:r>
              <w:rPr>
                <w:rFonts w:hint="eastAsia" w:ascii="Times New Roman"/>
                <w:b/>
                <w:bCs/>
                <w:sz w:val="21"/>
                <w:szCs w:val="28"/>
                <w:lang w:val="en-US" w:eastAsia="zh-CN"/>
              </w:rPr>
              <w:t>马军</w:t>
            </w:r>
          </w:p>
        </w:tc>
        <w:tc>
          <w:tcPr>
            <w:tcW w:w="608" w:type="dxa"/>
            <w:noWrap/>
            <w:vAlign w:val="center"/>
          </w:tcPr>
          <w:p w14:paraId="2611AE29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eastAsiaTheme="minorEastAsia"/>
                <w:sz w:val="21"/>
                <w:szCs w:val="28"/>
                <w:lang w:val="en-US" w:eastAsia="zh-CN"/>
              </w:rPr>
            </w:pPr>
            <w:r>
              <w:rPr>
                <w:rFonts w:hint="eastAsia" w:ascii="Times New Roman"/>
                <w:sz w:val="21"/>
                <w:szCs w:val="28"/>
                <w:lang w:val="en-US" w:eastAsia="zh-CN"/>
              </w:rPr>
              <w:t>10</w:t>
            </w:r>
          </w:p>
        </w:tc>
        <w:tc>
          <w:tcPr>
            <w:tcW w:w="760" w:type="dxa"/>
            <w:noWrap/>
            <w:vAlign w:val="center"/>
          </w:tcPr>
          <w:p w14:paraId="2239E8B6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eastAsiaTheme="minorEastAsia"/>
                <w:sz w:val="21"/>
                <w:szCs w:val="28"/>
                <w:lang w:val="en-US" w:eastAsia="zh-CN"/>
              </w:rPr>
            </w:pPr>
            <w:r>
              <w:rPr>
                <w:rFonts w:hint="eastAsia" w:ascii="Times New Roman"/>
                <w:sz w:val="21"/>
                <w:szCs w:val="28"/>
                <w:lang w:val="en-US" w:eastAsia="zh-CN"/>
              </w:rPr>
              <w:t>其他</w:t>
            </w:r>
          </w:p>
        </w:tc>
        <w:tc>
          <w:tcPr>
            <w:tcW w:w="827" w:type="dxa"/>
            <w:noWrap/>
            <w:vAlign w:val="center"/>
          </w:tcPr>
          <w:p w14:paraId="63784F20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</w:p>
        </w:tc>
        <w:tc>
          <w:tcPr>
            <w:tcW w:w="645" w:type="dxa"/>
            <w:noWrap/>
            <w:vAlign w:val="center"/>
          </w:tcPr>
          <w:p w14:paraId="45B46277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  <w:lang w:val="en-US" w:eastAsia="zh-CN"/>
              </w:rPr>
              <w:t>中文核心</w:t>
            </w:r>
          </w:p>
        </w:tc>
      </w:tr>
      <w:tr w14:paraId="3536447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  <w:jc w:val="center"/>
        </w:trPr>
        <w:tc>
          <w:tcPr>
            <w:tcW w:w="528" w:type="dxa"/>
            <w:noWrap/>
          </w:tcPr>
          <w:p w14:paraId="5DFC1DED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</w:p>
        </w:tc>
        <w:tc>
          <w:tcPr>
            <w:tcW w:w="7120" w:type="dxa"/>
            <w:gridSpan w:val="7"/>
            <w:noWrap/>
            <w:vAlign w:val="center"/>
          </w:tcPr>
          <w:p w14:paraId="6D12C3F8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sz w:val="21"/>
                <w:szCs w:val="28"/>
              </w:rPr>
              <w:t>合计</w:t>
            </w:r>
          </w:p>
        </w:tc>
        <w:tc>
          <w:tcPr>
            <w:tcW w:w="608" w:type="dxa"/>
            <w:noWrap/>
            <w:vAlign w:val="center"/>
          </w:tcPr>
          <w:p w14:paraId="759F1F48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eastAsia="宋体"/>
                <w:sz w:val="21"/>
                <w:szCs w:val="28"/>
                <w:lang w:val="en-US" w:eastAsia="zh-CN"/>
              </w:rPr>
            </w:pPr>
            <w:r>
              <w:rPr>
                <w:rFonts w:hint="eastAsia" w:ascii="Times New Roman"/>
                <w:sz w:val="21"/>
                <w:szCs w:val="21"/>
                <w:lang w:val="en-US" w:eastAsia="zh-CN"/>
              </w:rPr>
              <w:t>59</w:t>
            </w:r>
            <w:bookmarkStart w:id="0" w:name="_GoBack"/>
            <w:bookmarkEnd w:id="0"/>
          </w:p>
        </w:tc>
        <w:tc>
          <w:tcPr>
            <w:tcW w:w="760" w:type="dxa"/>
            <w:noWrap/>
            <w:vAlign w:val="center"/>
          </w:tcPr>
          <w:p w14:paraId="1DDA9E02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1"/>
              </w:rPr>
              <w:t>-</w:t>
            </w:r>
          </w:p>
        </w:tc>
        <w:tc>
          <w:tcPr>
            <w:tcW w:w="827" w:type="dxa"/>
            <w:noWrap/>
            <w:vAlign w:val="center"/>
          </w:tcPr>
          <w:p w14:paraId="0C7BB5DF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1"/>
              </w:rPr>
              <w:t>-</w:t>
            </w:r>
          </w:p>
        </w:tc>
        <w:tc>
          <w:tcPr>
            <w:tcW w:w="645" w:type="dxa"/>
            <w:noWrap/>
            <w:vAlign w:val="center"/>
          </w:tcPr>
          <w:p w14:paraId="34AAD712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1"/>
              </w:rPr>
              <w:t>-</w:t>
            </w:r>
          </w:p>
        </w:tc>
      </w:tr>
    </w:tbl>
    <w:p w14:paraId="131A2695">
      <w:pPr>
        <w:rPr>
          <w:rFonts w:hint="eastAsia"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 w14:paraId="5B27FD80">
      <w:pPr>
        <w:rPr>
          <w:rFonts w:hint="eastAsia"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主要完成人员</w:t>
      </w:r>
      <w:r>
        <w:rPr>
          <w:rFonts w:hint="eastAsia"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：曹阳, 陈志君, 刘琨, 陈敬举, 汪恩浩, 程永龙, 钱凌云, 郭志凯, 马军</w:t>
      </w:r>
      <w:r>
        <w:rPr>
          <w:rFonts w:hint="eastAsia" w:ascii="宋体" w:hAnsi="宋体" w:eastAsia="宋体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，孙朝阳</w:t>
      </w:r>
    </w:p>
    <w:p w14:paraId="283A3822">
      <w:pPr>
        <w:rPr>
          <w:rFonts w:hint="eastAsia"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 w14:paraId="5A2B4CD0">
      <w:pPr>
        <w:rPr>
          <w:rFonts w:hint="eastAsia"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主要完成单位</w:t>
      </w:r>
      <w:r>
        <w:rPr>
          <w:rFonts w:hint="eastAsia"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：郑州轻工业大学, 中铁工程装备集团有限公司, </w:t>
      </w:r>
      <w:r>
        <w:rPr>
          <w:rFonts w:hint="eastAsia" w:ascii="宋体" w:hAnsi="宋体" w:eastAsia="宋体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北京科技大学，</w:t>
      </w:r>
      <w:r>
        <w:rPr>
          <w:rFonts w:hint="eastAsia"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哈尔滨理工大学</w:t>
      </w:r>
    </w:p>
    <w:p w14:paraId="4F226815">
      <w:pPr>
        <w:rPr>
          <w:rFonts w:hint="eastAsia"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characterSpacingControl w:val="doNotCompress"/>
  <w:compat>
    <w:doNotExpandShiftReturn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6063"/>
    <w:rsid w:val="0019042A"/>
    <w:rsid w:val="00242F02"/>
    <w:rsid w:val="0028095E"/>
    <w:rsid w:val="003A42A7"/>
    <w:rsid w:val="00635266"/>
    <w:rsid w:val="00C67CEA"/>
    <w:rsid w:val="00C91975"/>
    <w:rsid w:val="00DE02B2"/>
    <w:rsid w:val="00E96063"/>
    <w:rsid w:val="00EA2FD1"/>
    <w:rsid w:val="00F41A74"/>
    <w:rsid w:val="00F81421"/>
    <w:rsid w:val="0342529B"/>
    <w:rsid w:val="0A115858"/>
    <w:rsid w:val="0CAB66CA"/>
    <w:rsid w:val="13255454"/>
    <w:rsid w:val="156B36C3"/>
    <w:rsid w:val="292C49EE"/>
    <w:rsid w:val="2E60060C"/>
    <w:rsid w:val="32A01FA9"/>
    <w:rsid w:val="357E2A76"/>
    <w:rsid w:val="3A1F5EA9"/>
    <w:rsid w:val="4AAE7EC8"/>
    <w:rsid w:val="572F24EA"/>
    <w:rsid w:val="5E9B5B97"/>
    <w:rsid w:val="66105A39"/>
    <w:rsid w:val="699D2D4D"/>
    <w:rsid w:val="6AC02C0D"/>
    <w:rsid w:val="6FD936E2"/>
    <w:rsid w:val="71EB526C"/>
    <w:rsid w:val="7C0B23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qFormat="1" w:uiPriority="99" w:semiHidden="0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99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  <w14:ligatures w14:val="standardContextual"/>
    </w:rPr>
  </w:style>
  <w:style w:type="paragraph" w:styleId="4">
    <w:name w:val="heading 1"/>
    <w:basedOn w:val="1"/>
    <w:next w:val="1"/>
    <w:link w:val="21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paragraph" w:styleId="5">
    <w:name w:val="heading 2"/>
    <w:basedOn w:val="1"/>
    <w:next w:val="1"/>
    <w:link w:val="22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paragraph" w:styleId="6">
    <w:name w:val="heading 3"/>
    <w:basedOn w:val="1"/>
    <w:next w:val="1"/>
    <w:link w:val="23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paragraph" w:styleId="7">
    <w:name w:val="heading 4"/>
    <w:basedOn w:val="1"/>
    <w:next w:val="1"/>
    <w:link w:val="24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104862" w:themeColor="accent1" w:themeShade="BF"/>
      <w:sz w:val="28"/>
      <w:szCs w:val="28"/>
    </w:rPr>
  </w:style>
  <w:style w:type="paragraph" w:styleId="8">
    <w:name w:val="heading 5"/>
    <w:basedOn w:val="1"/>
    <w:next w:val="1"/>
    <w:link w:val="25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104862" w:themeColor="accent1" w:themeShade="BF"/>
      <w:sz w:val="24"/>
      <w:szCs w:val="24"/>
    </w:rPr>
  </w:style>
  <w:style w:type="paragraph" w:styleId="9">
    <w:name w:val="heading 6"/>
    <w:basedOn w:val="1"/>
    <w:next w:val="1"/>
    <w:link w:val="26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104862" w:themeColor="accent1" w:themeShade="BF"/>
    </w:rPr>
  </w:style>
  <w:style w:type="paragraph" w:styleId="10">
    <w:name w:val="heading 7"/>
    <w:basedOn w:val="1"/>
    <w:next w:val="1"/>
    <w:link w:val="27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1">
    <w:name w:val="heading 8"/>
    <w:basedOn w:val="1"/>
    <w:next w:val="1"/>
    <w:link w:val="28"/>
    <w:semiHidden/>
    <w:unhideWhenUsed/>
    <w:qFormat/>
    <w:uiPriority w:val="9"/>
    <w:pPr>
      <w:keepNext/>
      <w:keepLines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2">
    <w:name w:val="heading 9"/>
    <w:basedOn w:val="1"/>
    <w:next w:val="1"/>
    <w:link w:val="29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9">
    <w:name w:val="Default Paragraph Font"/>
    <w:semiHidden/>
    <w:unhideWhenUsed/>
    <w:qFormat/>
    <w:uiPriority w:val="1"/>
  </w:style>
  <w:style w:type="table" w:default="1" w:styleId="1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99"/>
    <w:pPr>
      <w:spacing w:after="120"/>
    </w:pPr>
    <w:rPr>
      <w:kern w:val="0"/>
      <w:sz w:val="24"/>
      <w:szCs w:val="20"/>
    </w:rPr>
  </w:style>
  <w:style w:type="paragraph" w:styleId="3">
    <w:name w:val="Body Text 2"/>
    <w:basedOn w:val="1"/>
    <w:next w:val="2"/>
    <w:unhideWhenUsed/>
    <w:qFormat/>
    <w:uiPriority w:val="99"/>
    <w:pPr>
      <w:adjustRightInd w:val="0"/>
      <w:spacing w:line="360" w:lineRule="auto"/>
      <w:textAlignment w:val="baseline"/>
    </w:pPr>
    <w:rPr>
      <w:rFonts w:ascii="楷体_GB2312" w:eastAsia="楷体_GB2312"/>
      <w:kern w:val="44"/>
      <w:sz w:val="28"/>
      <w:szCs w:val="20"/>
    </w:rPr>
  </w:style>
  <w:style w:type="paragraph" w:styleId="13">
    <w:name w:val="Plain Text"/>
    <w:basedOn w:val="1"/>
    <w:qFormat/>
    <w:uiPriority w:val="99"/>
    <w:pPr>
      <w:spacing w:line="360" w:lineRule="auto"/>
      <w:ind w:firstLine="480" w:firstLineChars="200"/>
    </w:pPr>
    <w:rPr>
      <w:rFonts w:ascii="仿宋_GB2312"/>
      <w:sz w:val="24"/>
      <w:szCs w:val="20"/>
    </w:rPr>
  </w:style>
  <w:style w:type="paragraph" w:styleId="14">
    <w:name w:val="footer"/>
    <w:basedOn w:val="1"/>
    <w:link w:val="4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5">
    <w:name w:val="header"/>
    <w:basedOn w:val="1"/>
    <w:link w:val="39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6">
    <w:name w:val="Subtitle"/>
    <w:basedOn w:val="1"/>
    <w:next w:val="1"/>
    <w:link w:val="31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7">
    <w:name w:val="Title"/>
    <w:basedOn w:val="1"/>
    <w:next w:val="1"/>
    <w:link w:val="30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20">
    <w:name w:val="Hyperlink"/>
    <w:basedOn w:val="19"/>
    <w:semiHidden/>
    <w:unhideWhenUsed/>
    <w:qFormat/>
    <w:uiPriority w:val="99"/>
    <w:rPr>
      <w:color w:val="0000FF"/>
      <w:u w:val="single"/>
    </w:rPr>
  </w:style>
  <w:style w:type="character" w:customStyle="1" w:styleId="21">
    <w:name w:val="标题 1 字符"/>
    <w:basedOn w:val="19"/>
    <w:link w:val="4"/>
    <w:qFormat/>
    <w:uiPriority w:val="9"/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character" w:customStyle="1" w:styleId="22">
    <w:name w:val="标题 2 字符"/>
    <w:basedOn w:val="19"/>
    <w:link w:val="5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23">
    <w:name w:val="标题 3 字符"/>
    <w:basedOn w:val="19"/>
    <w:link w:val="6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24">
    <w:name w:val="标题 4 字符"/>
    <w:basedOn w:val="19"/>
    <w:link w:val="7"/>
    <w:semiHidden/>
    <w:qFormat/>
    <w:uiPriority w:val="9"/>
    <w:rPr>
      <w:rFonts w:cstheme="majorBidi"/>
      <w:color w:val="104862" w:themeColor="accent1" w:themeShade="BF"/>
      <w:sz w:val="28"/>
      <w:szCs w:val="28"/>
    </w:rPr>
  </w:style>
  <w:style w:type="character" w:customStyle="1" w:styleId="25">
    <w:name w:val="标题 5 字符"/>
    <w:basedOn w:val="19"/>
    <w:link w:val="8"/>
    <w:semiHidden/>
    <w:qFormat/>
    <w:uiPriority w:val="9"/>
    <w:rPr>
      <w:rFonts w:cstheme="majorBidi"/>
      <w:color w:val="104862" w:themeColor="accent1" w:themeShade="BF"/>
      <w:sz w:val="24"/>
      <w:szCs w:val="24"/>
    </w:rPr>
  </w:style>
  <w:style w:type="character" w:customStyle="1" w:styleId="26">
    <w:name w:val="标题 6 字符"/>
    <w:basedOn w:val="19"/>
    <w:link w:val="9"/>
    <w:semiHidden/>
    <w:qFormat/>
    <w:uiPriority w:val="9"/>
    <w:rPr>
      <w:rFonts w:cstheme="majorBidi"/>
      <w:b/>
      <w:bCs/>
      <w:color w:val="104862" w:themeColor="accent1" w:themeShade="BF"/>
    </w:rPr>
  </w:style>
  <w:style w:type="character" w:customStyle="1" w:styleId="27">
    <w:name w:val="标题 7 字符"/>
    <w:basedOn w:val="19"/>
    <w:link w:val="10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8">
    <w:name w:val="标题 8 字符"/>
    <w:basedOn w:val="19"/>
    <w:link w:val="11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9">
    <w:name w:val="标题 9 字符"/>
    <w:basedOn w:val="19"/>
    <w:link w:val="12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30">
    <w:name w:val="标题 字符"/>
    <w:basedOn w:val="19"/>
    <w:link w:val="17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31">
    <w:name w:val="副标题 字符"/>
    <w:basedOn w:val="19"/>
    <w:link w:val="16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32">
    <w:name w:val="Quote"/>
    <w:basedOn w:val="1"/>
    <w:next w:val="1"/>
    <w:link w:val="33"/>
    <w:qFormat/>
    <w:uiPriority w:val="29"/>
    <w:pPr>
      <w:spacing w:before="160" w:after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3">
    <w:name w:val="引用 字符"/>
    <w:basedOn w:val="19"/>
    <w:link w:val="32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4">
    <w:name w:val="List Paragraph"/>
    <w:basedOn w:val="1"/>
    <w:qFormat/>
    <w:uiPriority w:val="34"/>
    <w:pPr>
      <w:ind w:left="720"/>
      <w:contextualSpacing/>
    </w:pPr>
  </w:style>
  <w:style w:type="character" w:customStyle="1" w:styleId="35">
    <w:name w:val="Intense Emphasis"/>
    <w:basedOn w:val="19"/>
    <w:qFormat/>
    <w:uiPriority w:val="21"/>
    <w:rPr>
      <w:i/>
      <w:iCs/>
      <w:color w:val="104862" w:themeColor="accent1" w:themeShade="BF"/>
    </w:rPr>
  </w:style>
  <w:style w:type="paragraph" w:styleId="36">
    <w:name w:val="Intense Quote"/>
    <w:basedOn w:val="1"/>
    <w:next w:val="1"/>
    <w:link w:val="37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104862" w:themeColor="accent1" w:themeShade="BF"/>
    </w:rPr>
  </w:style>
  <w:style w:type="character" w:customStyle="1" w:styleId="37">
    <w:name w:val="明显引用 字符"/>
    <w:basedOn w:val="19"/>
    <w:link w:val="36"/>
    <w:qFormat/>
    <w:uiPriority w:val="30"/>
    <w:rPr>
      <w:i/>
      <w:iCs/>
      <w:color w:val="104862" w:themeColor="accent1" w:themeShade="BF"/>
    </w:rPr>
  </w:style>
  <w:style w:type="character" w:customStyle="1" w:styleId="38">
    <w:name w:val="Intense Reference"/>
    <w:basedOn w:val="19"/>
    <w:qFormat/>
    <w:uiPriority w:val="32"/>
    <w:rPr>
      <w:b/>
      <w:bCs/>
      <w:smallCaps/>
      <w:color w:val="104862" w:themeColor="accent1" w:themeShade="BF"/>
      <w:spacing w:val="5"/>
    </w:rPr>
  </w:style>
  <w:style w:type="character" w:customStyle="1" w:styleId="39">
    <w:name w:val="页眉 字符"/>
    <w:basedOn w:val="19"/>
    <w:link w:val="15"/>
    <w:qFormat/>
    <w:uiPriority w:val="99"/>
    <w:rPr>
      <w:sz w:val="18"/>
      <w:szCs w:val="18"/>
    </w:rPr>
  </w:style>
  <w:style w:type="character" w:customStyle="1" w:styleId="40">
    <w:name w:val="页脚 字符"/>
    <w:basedOn w:val="19"/>
    <w:link w:val="14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1549</Words>
  <Characters>3991</Characters>
  <Lines>1</Lines>
  <Paragraphs>1</Paragraphs>
  <TotalTime>56</TotalTime>
  <ScaleCrop>false</ScaleCrop>
  <LinksUpToDate>false</LinksUpToDate>
  <CharactersWithSpaces>4415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2025-05-19T08:12:00Z</dcterms:created>
  <dc:creator>辉 阿</dc:creator>
  <cp:lastModifiedBy>阳仔</cp:lastModifiedBy>
  <dcterms:modified xsi:type="dcterms:W3CDTF">2026-05-06T03:00:49Z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eyJoZGlkIjoiNjc1YjBiM2IzMDVmZjA0Yjc4ODk5MDU2NDBlYjJhMTAiLCJ1c2VySWQiOiI0NTM2ODQ4MTcifQ==</vt:lpwstr>
  </property>
  <property fmtid="{D5CDD505-2E9C-101B-9397-08002B2CF9AE}" pid="3" name="KSOProductBuildVer">
    <vt:lpwstr>2052-12.1.0.22215</vt:lpwstr>
  </property>
  <property fmtid="{D5CDD505-2E9C-101B-9397-08002B2CF9AE}" pid="4" name="ICV">
    <vt:lpwstr>652669E4DD2343FAAA87EB2BAF30AAEF_13</vt:lpwstr>
  </property>
</Properties>
</file>