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项目名称：全息波前调制的高舒适度3D显示关键技术及应用</w:t>
      </w:r>
    </w:p>
    <w:p w14:paraId="4E5BF9E8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提名者：</w:t>
      </w:r>
      <w:r>
        <w:rPr>
          <w:rFonts w:hint="default" w:ascii="Times New Roman" w:hAnsi="Times New Roman" w:eastAsia="宋体" w:cs="Times New Roman"/>
          <w:color w:val="000000"/>
          <w:sz w:val="28"/>
          <w:szCs w:val="28"/>
        </w:rPr>
        <w:t>河南省教育厅</w:t>
      </w:r>
    </w:p>
    <w:p w14:paraId="56D73DBC">
      <w:pP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提名等级：</w:t>
      </w:r>
      <w:r>
        <w:rPr>
          <w:rFonts w:hint="default" w:ascii="Times New Roman" w:hAnsi="Times New Roman" w:eastAsia="宋体" w:cs="Times New Roman"/>
          <w:sz w:val="28"/>
          <w:szCs w:val="28"/>
          <w:lang w:val="en-US" w:eastAsia="zh-CN"/>
        </w:rPr>
        <w:t>三等奖</w:t>
      </w:r>
    </w:p>
    <w:p w14:paraId="4B8AFE94">
      <w:pPr>
        <w:jc w:val="left"/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8"/>
        <w:tblW w:w="901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1307"/>
        <w:gridCol w:w="544"/>
        <w:gridCol w:w="832"/>
        <w:gridCol w:w="871"/>
        <w:gridCol w:w="921"/>
        <w:gridCol w:w="970"/>
        <w:gridCol w:w="2089"/>
        <w:gridCol w:w="668"/>
      </w:tblGrid>
      <w:tr w14:paraId="7D51D10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09" w:type="dxa"/>
            <w:noWrap/>
            <w:vAlign w:val="center"/>
          </w:tcPr>
          <w:p w14:paraId="7EDE508E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知识产权（标准）类别</w:t>
            </w:r>
          </w:p>
        </w:tc>
        <w:tc>
          <w:tcPr>
            <w:tcW w:w="1307" w:type="dxa"/>
            <w:noWrap/>
            <w:vAlign w:val="center"/>
          </w:tcPr>
          <w:p w14:paraId="7B0AD7C5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知识产权（标准）具体名称</w:t>
            </w:r>
          </w:p>
        </w:tc>
        <w:tc>
          <w:tcPr>
            <w:tcW w:w="544" w:type="dxa"/>
            <w:noWrap/>
            <w:vAlign w:val="center"/>
          </w:tcPr>
          <w:p w14:paraId="2AC2745A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国家</w:t>
            </w:r>
          </w:p>
          <w:p w14:paraId="61C66EA4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（地区）</w:t>
            </w:r>
          </w:p>
        </w:tc>
        <w:tc>
          <w:tcPr>
            <w:tcW w:w="832" w:type="dxa"/>
            <w:noWrap/>
            <w:vAlign w:val="center"/>
          </w:tcPr>
          <w:p w14:paraId="038B9145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授权号（标准编号）</w:t>
            </w:r>
          </w:p>
        </w:tc>
        <w:tc>
          <w:tcPr>
            <w:tcW w:w="871" w:type="dxa"/>
            <w:noWrap/>
            <w:vAlign w:val="center"/>
          </w:tcPr>
          <w:p w14:paraId="65FBE1B2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授权日期（标准发布日期）</w:t>
            </w:r>
          </w:p>
        </w:tc>
        <w:tc>
          <w:tcPr>
            <w:tcW w:w="921" w:type="dxa"/>
            <w:noWrap/>
            <w:vAlign w:val="center"/>
          </w:tcPr>
          <w:p w14:paraId="08CEB281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证书编号</w:t>
            </w:r>
          </w:p>
          <w:p w14:paraId="24485A0C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（标准批准发布部门）</w:t>
            </w:r>
          </w:p>
        </w:tc>
        <w:tc>
          <w:tcPr>
            <w:tcW w:w="970" w:type="dxa"/>
            <w:noWrap/>
            <w:vAlign w:val="center"/>
          </w:tcPr>
          <w:p w14:paraId="1D4F65B4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权利人（标准起草单位）</w:t>
            </w:r>
          </w:p>
        </w:tc>
        <w:tc>
          <w:tcPr>
            <w:tcW w:w="2089" w:type="dxa"/>
            <w:noWrap/>
            <w:vAlign w:val="center"/>
          </w:tcPr>
          <w:p w14:paraId="425B7057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发明人（标准起草人）</w:t>
            </w:r>
          </w:p>
        </w:tc>
        <w:tc>
          <w:tcPr>
            <w:tcW w:w="668" w:type="dxa"/>
            <w:noWrap/>
            <w:vAlign w:val="center"/>
          </w:tcPr>
          <w:p w14:paraId="797E101B">
            <w:pPr>
              <w:pStyle w:val="13"/>
              <w:spacing w:line="390" w:lineRule="exact"/>
              <w:ind w:firstLine="0" w:firstLineChars="0"/>
              <w:jc w:val="center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专利（标准）有效状态</w:t>
            </w:r>
          </w:p>
        </w:tc>
      </w:tr>
      <w:tr w14:paraId="3EB370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51A6F28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17F0552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一种连续扩大计算全息再现像观看视角的方法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57BAD67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23C27B6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ZL201811232812.3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2B6D211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2021-2-12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0D2D934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4251250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5AC611A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3F57F8AF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刘素娟，刘楠楠，王东琳，张志峰，翟凤潇，翟玉生，郝蕴琦，张晓东，杨坤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25B0035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3929AB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094C9934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4E59B25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一种基于单个SLM抑制计算全息再现像斑点噪声的方法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5DBD29B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15DFBA9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ZL201811239741.X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49D779F4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2021-3-16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35EAFB4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4304837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1D7AD30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5265D0DF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刘素娟，翟凤潇，王东琳，刘楠楠，张志峰，张晓东，郝蕴琦，张瑞亮，杨坤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1FBA14E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6CAF6F8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60AE390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37AC4E7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一种斑点噪声被抑制的大视区计算全息显示方法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190E273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2581868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ZL202010211406.X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0A2AD1C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2021-6-15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3EE26030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4482998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6D43214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2159D3BB">
            <w:pPr>
              <w:pStyle w:val="13"/>
              <w:spacing w:line="240" w:lineRule="auto"/>
              <w:ind w:firstLine="0" w:firstLineChars="0"/>
              <w:jc w:val="left"/>
              <w:rPr>
                <w:rFonts w:hint="default" w:ascii="Times New Roman" w:eastAsia="宋体"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ascii="Times New Roman"/>
                <w:sz w:val="21"/>
                <w:szCs w:val="21"/>
              </w:rPr>
              <w:t>刘素娟，翟凤潇，杨艳丽，刘楠楠，郝蕴琦，李萍萍，杨坤，沈江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垚，王乾森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5DD6A814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373471D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6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2448015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600EA91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一种斑点噪声被抑制的大视区计算全息显示方法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40FC298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0368BAB0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ZL202010423114.2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1B3E012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2021-7-30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4C8D3A3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4581083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7E096B1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郑州轻工业大学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5B5818F5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刘素娟，李萍萍，翟凤潇，刘楠楠，郝蕴琦，张志峰，杨坤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3B77A53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052A45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162CD364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1AC8BA0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highlight w:val="none"/>
              </w:rPr>
              <w:t>一种基于两个空间光调制器有效利用的大尺寸全息显示方法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6FDCFE9F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674560B5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:highlight w:val="none"/>
              </w:rPr>
              <w:t>ZL201910374246.8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01F7A00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:highlight w:val="none"/>
              </w:rPr>
              <w:t xml:space="preserve">2020-2-11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28C6F840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:highlight w:val="none"/>
              </w:rPr>
              <w:t>3688366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20A0312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 w:themeColor="text1"/>
                <w:sz w:val="21"/>
                <w:szCs w:val="21"/>
                <w:highlight w:val="none"/>
              </w:rPr>
              <w:t>北京航空航天大学</w:t>
            </w:r>
            <w:r>
              <w:rPr>
                <w:rFonts w:hint="eastAsia" w:ascii="Times New Roman"/>
                <w:color w:val="000000" w:themeColor="text1"/>
                <w:sz w:val="21"/>
                <w:szCs w:val="21"/>
                <w:highlight w:val="none"/>
              </w:rPr>
              <w:t>；四川大学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1B97974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 w:themeColor="text1"/>
                <w:sz w:val="21"/>
                <w:szCs w:val="21"/>
                <w:highlight w:val="none"/>
              </w:rPr>
              <w:t>王迪，王琼华，刘超，肖聃，李楠楠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612E570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3D01C1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5C6257E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5F3CDDC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一种基于分层像素扫描算法的全息散斑噪声抑制方法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1A1B5E7D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sz w:val="21"/>
                <w:szCs w:val="21"/>
                <w:highlight w:val="none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4709562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sz w:val="21"/>
                <w:szCs w:val="21"/>
                <w:highlight w:val="none"/>
              </w:rPr>
              <w:t>ZL202010149335.5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70A7B209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sz w:val="21"/>
                <w:szCs w:val="21"/>
                <w:highlight w:val="none"/>
              </w:rPr>
              <w:t xml:space="preserve">2020-3-4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110BCDC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sz w:val="21"/>
                <w:szCs w:val="21"/>
                <w:highlight w:val="none"/>
              </w:rPr>
              <w:t>4185622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6758732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sz w:val="21"/>
                <w:szCs w:val="21"/>
                <w:highlight w:val="none"/>
              </w:rPr>
              <w:t>北京航空航天大学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45003F4D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sz w:val="21"/>
                <w:szCs w:val="21"/>
                <w:highlight w:val="none"/>
              </w:rPr>
              <w:t>王迪，王琼华，刘超，李移隆，李楠楠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6F07453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74CC3E1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809" w:type="dxa"/>
            <w:shd w:val="clear" w:color="auto" w:fill="auto"/>
            <w:noWrap/>
            <w:vAlign w:val="center"/>
          </w:tcPr>
          <w:p w14:paraId="6B25E756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shd w:val="clear" w:color="auto" w:fill="auto"/>
            <w:noWrap/>
            <w:vAlign w:val="center"/>
          </w:tcPr>
          <w:p w14:paraId="78FA470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一种基于全息图优化分割计算的快速全息图计算方法</w:t>
            </w:r>
          </w:p>
        </w:tc>
        <w:tc>
          <w:tcPr>
            <w:tcW w:w="544" w:type="dxa"/>
            <w:shd w:val="clear" w:color="auto" w:fill="auto"/>
            <w:noWrap/>
            <w:vAlign w:val="center"/>
          </w:tcPr>
          <w:p w14:paraId="6408C5D9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shd w:val="clear" w:color="auto" w:fill="auto"/>
            <w:noWrap/>
            <w:vAlign w:val="center"/>
          </w:tcPr>
          <w:p w14:paraId="23E9E45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ZL202010288882.1</w:t>
            </w:r>
          </w:p>
        </w:tc>
        <w:tc>
          <w:tcPr>
            <w:tcW w:w="871" w:type="dxa"/>
            <w:shd w:val="clear" w:color="auto" w:fill="auto"/>
            <w:noWrap/>
            <w:vAlign w:val="center"/>
          </w:tcPr>
          <w:p w14:paraId="3598009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 xml:space="preserve">2021-3-9 </w:t>
            </w:r>
          </w:p>
        </w:tc>
        <w:tc>
          <w:tcPr>
            <w:tcW w:w="921" w:type="dxa"/>
            <w:shd w:val="clear" w:color="auto" w:fill="auto"/>
            <w:noWrap/>
            <w:vAlign w:val="center"/>
          </w:tcPr>
          <w:p w14:paraId="1821E6F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4290926</w:t>
            </w:r>
          </w:p>
        </w:tc>
        <w:tc>
          <w:tcPr>
            <w:tcW w:w="970" w:type="dxa"/>
            <w:shd w:val="clear" w:color="auto" w:fill="auto"/>
            <w:noWrap/>
            <w:vAlign w:val="center"/>
          </w:tcPr>
          <w:p w14:paraId="5A3CA4A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北京航空航天大学</w:t>
            </w:r>
          </w:p>
        </w:tc>
        <w:tc>
          <w:tcPr>
            <w:tcW w:w="2089" w:type="dxa"/>
            <w:shd w:val="clear" w:color="auto" w:fill="auto"/>
            <w:noWrap/>
            <w:vAlign w:val="center"/>
          </w:tcPr>
          <w:p w14:paraId="4864B3E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王迪，王琼华，李移隆，李楠楠，刘超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34CB78B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color w:val="000000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76C794F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809" w:type="dxa"/>
            <w:noWrap/>
          </w:tcPr>
          <w:p w14:paraId="254BACA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noWrap/>
          </w:tcPr>
          <w:p w14:paraId="37E69A75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复杂场景下真3D图像显著重建方法</w:t>
            </w:r>
          </w:p>
        </w:tc>
        <w:tc>
          <w:tcPr>
            <w:tcW w:w="544" w:type="dxa"/>
            <w:noWrap/>
          </w:tcPr>
          <w:p w14:paraId="6197CEE8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noWrap/>
          </w:tcPr>
          <w:p w14:paraId="46B9B8E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ZL202110765330.X</w:t>
            </w:r>
          </w:p>
        </w:tc>
        <w:tc>
          <w:tcPr>
            <w:tcW w:w="871" w:type="dxa"/>
            <w:noWrap/>
          </w:tcPr>
          <w:p w14:paraId="6A541552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7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7</w:t>
            </w:r>
          </w:p>
        </w:tc>
        <w:tc>
          <w:tcPr>
            <w:tcW w:w="921" w:type="dxa"/>
            <w:noWrap/>
          </w:tcPr>
          <w:p w14:paraId="5EEDEAC9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6128239</w:t>
            </w:r>
          </w:p>
          <w:p w14:paraId="59D55B2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970" w:type="dxa"/>
            <w:noWrap/>
          </w:tcPr>
          <w:p w14:paraId="23EBCD2D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四川大学</w:t>
            </w:r>
          </w:p>
        </w:tc>
        <w:tc>
          <w:tcPr>
            <w:tcW w:w="2089" w:type="dxa"/>
            <w:noWrap/>
          </w:tcPr>
          <w:p w14:paraId="7B503ACB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李小伟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李颖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任芷晴</w:t>
            </w:r>
          </w:p>
          <w:p w14:paraId="79C7439F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668" w:type="dxa"/>
            <w:noWrap/>
          </w:tcPr>
          <w:p w14:paraId="7815627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62B4E20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809" w:type="dxa"/>
            <w:noWrap/>
          </w:tcPr>
          <w:p w14:paraId="36188C7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noWrap/>
          </w:tcPr>
          <w:p w14:paraId="7EC7D9D5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一种基于计算鬼成像的3D图像加密方法</w:t>
            </w:r>
          </w:p>
        </w:tc>
        <w:tc>
          <w:tcPr>
            <w:tcW w:w="544" w:type="dxa"/>
            <w:noWrap/>
          </w:tcPr>
          <w:p w14:paraId="2E88078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noWrap/>
          </w:tcPr>
          <w:p w14:paraId="5874838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ZL2022</w:t>
            </w:r>
            <w:r>
              <w:rPr>
                <w:rFonts w:hint="eastAsia" w:ascii="Times New Roman"/>
                <w:sz w:val="21"/>
                <w:szCs w:val="21"/>
                <w:lang w:val="en-US" w:eastAsia="zh-CN"/>
              </w:rPr>
              <w:t>2</w:t>
            </w:r>
            <w:r>
              <w:rPr>
                <w:rFonts w:ascii="Times New Roman"/>
                <w:sz w:val="21"/>
                <w:szCs w:val="21"/>
              </w:rPr>
              <w:t>0662561.2</w:t>
            </w:r>
          </w:p>
        </w:tc>
        <w:tc>
          <w:tcPr>
            <w:tcW w:w="871" w:type="dxa"/>
            <w:noWrap/>
          </w:tcPr>
          <w:p w14:paraId="372BE610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2023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10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10</w:t>
            </w:r>
          </w:p>
        </w:tc>
        <w:tc>
          <w:tcPr>
            <w:tcW w:w="921" w:type="dxa"/>
            <w:noWrap/>
          </w:tcPr>
          <w:p w14:paraId="6F538670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6388227</w:t>
            </w:r>
          </w:p>
          <w:p w14:paraId="13DA1D4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970" w:type="dxa"/>
            <w:noWrap/>
          </w:tcPr>
          <w:p w14:paraId="4B84F851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四川大学</w:t>
            </w:r>
          </w:p>
        </w:tc>
        <w:tc>
          <w:tcPr>
            <w:tcW w:w="2089" w:type="dxa"/>
            <w:noWrap/>
          </w:tcPr>
          <w:p w14:paraId="32C1A6A3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李小伟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寇宇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刘航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李颖</w:t>
            </w:r>
            <w:r>
              <w:rPr>
                <w:rFonts w:hint="eastAsia"/>
                <w:color w:val="000000"/>
                <w:kern w:val="0"/>
                <w:szCs w:val="21"/>
                <w:lang w:bidi="ar"/>
              </w:rPr>
              <w:t>，</w:t>
            </w:r>
            <w:r>
              <w:rPr>
                <w:color w:val="000000"/>
                <w:kern w:val="0"/>
                <w:szCs w:val="21"/>
                <w:lang w:bidi="ar"/>
              </w:rPr>
              <w:t>廖月</w:t>
            </w:r>
          </w:p>
          <w:p w14:paraId="33C8E83C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668" w:type="dxa"/>
            <w:noWrap/>
          </w:tcPr>
          <w:p w14:paraId="50DFB0B9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有效</w:t>
            </w:r>
          </w:p>
        </w:tc>
      </w:tr>
      <w:tr w14:paraId="5A74063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6" w:hRule="atLeast"/>
          <w:jc w:val="center"/>
        </w:trPr>
        <w:tc>
          <w:tcPr>
            <w:tcW w:w="809" w:type="dxa"/>
            <w:noWrap/>
          </w:tcPr>
          <w:p w14:paraId="644FBDC9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发明专利</w:t>
            </w:r>
          </w:p>
        </w:tc>
        <w:tc>
          <w:tcPr>
            <w:tcW w:w="1307" w:type="dxa"/>
            <w:noWrap/>
          </w:tcPr>
          <w:p w14:paraId="7BBB7613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一种贴地成像的连续深度增强现实显示方法及装置</w:t>
            </w:r>
          </w:p>
        </w:tc>
        <w:tc>
          <w:tcPr>
            <w:tcW w:w="544" w:type="dxa"/>
            <w:noWrap/>
          </w:tcPr>
          <w:p w14:paraId="64C2A04A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中国</w:t>
            </w:r>
          </w:p>
        </w:tc>
        <w:tc>
          <w:tcPr>
            <w:tcW w:w="832" w:type="dxa"/>
            <w:noWrap/>
          </w:tcPr>
          <w:p w14:paraId="3A47A763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ZL202410258757.4</w:t>
            </w:r>
          </w:p>
        </w:tc>
        <w:tc>
          <w:tcPr>
            <w:tcW w:w="871" w:type="dxa"/>
            <w:noWrap/>
          </w:tcPr>
          <w:p w14:paraId="3E4936CD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2024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6</w:t>
            </w:r>
            <w:r>
              <w:rPr>
                <w:rFonts w:hint="eastAsia" w:ascii="Times New Roman"/>
                <w:sz w:val="21"/>
                <w:szCs w:val="21"/>
              </w:rPr>
              <w:t>-</w:t>
            </w:r>
            <w:r>
              <w:rPr>
                <w:rFonts w:ascii="Times New Roman"/>
                <w:sz w:val="21"/>
                <w:szCs w:val="21"/>
              </w:rPr>
              <w:t>4</w:t>
            </w:r>
          </w:p>
        </w:tc>
        <w:tc>
          <w:tcPr>
            <w:tcW w:w="921" w:type="dxa"/>
            <w:noWrap/>
          </w:tcPr>
          <w:p w14:paraId="7015B5B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7065967</w:t>
            </w:r>
          </w:p>
        </w:tc>
        <w:tc>
          <w:tcPr>
            <w:tcW w:w="970" w:type="dxa"/>
            <w:noWrap/>
          </w:tcPr>
          <w:p w14:paraId="6D999223">
            <w:pPr>
              <w:widowControl/>
              <w:jc w:val="left"/>
              <w:rPr>
                <w:szCs w:val="21"/>
              </w:rPr>
            </w:pPr>
            <w:r>
              <w:rPr>
                <w:color w:val="000000"/>
                <w:kern w:val="0"/>
                <w:szCs w:val="21"/>
                <w:lang w:bidi="ar"/>
              </w:rPr>
              <w:t>河南百合特种光学研究院有限公司</w:t>
            </w:r>
          </w:p>
          <w:p w14:paraId="2AFE4FCE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</w:p>
        </w:tc>
        <w:tc>
          <w:tcPr>
            <w:tcW w:w="2089" w:type="dxa"/>
            <w:noWrap/>
          </w:tcPr>
          <w:p w14:paraId="2092CC67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刘琴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张博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何金泓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张品祥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韩梅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赵刚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陈沫含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李宁驰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刘柯新</w:t>
            </w:r>
            <w:r>
              <w:rPr>
                <w:rFonts w:hint="eastAsia" w:ascii="Times New Roman"/>
                <w:sz w:val="21"/>
                <w:szCs w:val="21"/>
              </w:rPr>
              <w:t>，</w:t>
            </w:r>
            <w:r>
              <w:rPr>
                <w:rFonts w:ascii="Times New Roman"/>
                <w:sz w:val="21"/>
                <w:szCs w:val="21"/>
              </w:rPr>
              <w:t>郭俊岳</w:t>
            </w:r>
          </w:p>
        </w:tc>
        <w:tc>
          <w:tcPr>
            <w:tcW w:w="668" w:type="dxa"/>
            <w:noWrap/>
          </w:tcPr>
          <w:p w14:paraId="44E1CA2B">
            <w:pPr>
              <w:pStyle w:val="13"/>
              <w:spacing w:line="240" w:lineRule="auto"/>
              <w:ind w:firstLine="0" w:firstLineChars="0"/>
              <w:jc w:val="left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有效</w:t>
            </w:r>
          </w:p>
        </w:tc>
      </w:tr>
    </w:tbl>
    <w:p w14:paraId="73695CC4">
      <w:pPr>
        <w:jc w:val="both"/>
        <w:rPr>
          <w:rFonts w:hint="eastAsia" w:ascii="宋体" w:hAnsi="宋体" w:eastAsia="宋体"/>
          <w:color w:val="000000" w:themeColor="text1"/>
          <w:sz w:val="28"/>
          <w:szCs w:val="28"/>
        </w:rPr>
      </w:pPr>
    </w:p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8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1"/>
        <w:gridCol w:w="2829"/>
        <w:gridCol w:w="743"/>
        <w:gridCol w:w="660"/>
        <w:gridCol w:w="720"/>
        <w:gridCol w:w="693"/>
        <w:gridCol w:w="773"/>
        <w:gridCol w:w="1606"/>
        <w:gridCol w:w="422"/>
        <w:gridCol w:w="740"/>
        <w:gridCol w:w="554"/>
        <w:gridCol w:w="377"/>
      </w:tblGrid>
      <w:tr w14:paraId="2FFBF91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64" w:hRule="atLeast"/>
          <w:jc w:val="center"/>
        </w:trPr>
        <w:tc>
          <w:tcPr>
            <w:tcW w:w="371" w:type="dxa"/>
            <w:tcBorders>
              <w:top w:val="single" w:color="auto" w:sz="8" w:space="0"/>
            </w:tcBorders>
            <w:noWrap/>
            <w:vAlign w:val="center"/>
          </w:tcPr>
          <w:p w14:paraId="2DECFDF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2829" w:type="dxa"/>
            <w:tcBorders>
              <w:top w:val="single" w:color="auto" w:sz="8" w:space="0"/>
            </w:tcBorders>
            <w:noWrap/>
            <w:vAlign w:val="center"/>
          </w:tcPr>
          <w:p w14:paraId="77D72E7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论文专著名称/</w:t>
            </w:r>
          </w:p>
          <w:p w14:paraId="151E673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刊名/ 作者</w:t>
            </w:r>
          </w:p>
        </w:tc>
        <w:tc>
          <w:tcPr>
            <w:tcW w:w="743" w:type="dxa"/>
            <w:tcBorders>
              <w:top w:val="single" w:color="auto" w:sz="8" w:space="0"/>
            </w:tcBorders>
            <w:noWrap/>
            <w:vAlign w:val="center"/>
          </w:tcPr>
          <w:p w14:paraId="4A6B917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1BB830D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（xx年xx卷xx页）</w:t>
            </w:r>
          </w:p>
        </w:tc>
        <w:tc>
          <w:tcPr>
            <w:tcW w:w="660" w:type="dxa"/>
            <w:tcBorders>
              <w:top w:val="single" w:color="auto" w:sz="8" w:space="0"/>
            </w:tcBorders>
            <w:noWrap/>
            <w:vAlign w:val="center"/>
          </w:tcPr>
          <w:p w14:paraId="04365AD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color="auto" w:sz="8" w:space="0"/>
            </w:tcBorders>
            <w:noWrap/>
            <w:vAlign w:val="center"/>
          </w:tcPr>
          <w:p w14:paraId="3447761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color="auto" w:sz="8" w:space="0"/>
            </w:tcBorders>
            <w:noWrap/>
            <w:vAlign w:val="center"/>
          </w:tcPr>
          <w:p w14:paraId="348A52F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color="auto" w:sz="8" w:space="0"/>
            </w:tcBorders>
            <w:noWrap/>
            <w:vAlign w:val="center"/>
          </w:tcPr>
          <w:p w14:paraId="399D4B7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1606" w:type="dxa"/>
            <w:tcBorders>
              <w:top w:val="single" w:color="auto" w:sz="8" w:space="0"/>
            </w:tcBorders>
            <w:noWrap/>
            <w:vAlign w:val="center"/>
          </w:tcPr>
          <w:p w14:paraId="62659CA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422" w:type="dxa"/>
            <w:tcBorders>
              <w:top w:val="single" w:color="auto" w:sz="8" w:space="0"/>
            </w:tcBorders>
            <w:noWrap/>
            <w:vAlign w:val="center"/>
          </w:tcPr>
          <w:p w14:paraId="6F378CE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</w:p>
        </w:tc>
        <w:tc>
          <w:tcPr>
            <w:tcW w:w="740" w:type="dxa"/>
            <w:tcBorders>
              <w:top w:val="single" w:color="auto" w:sz="8" w:space="0"/>
            </w:tcBorders>
            <w:noWrap/>
            <w:vAlign w:val="center"/>
          </w:tcPr>
          <w:p w14:paraId="4124884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554" w:type="dxa"/>
            <w:tcBorders>
              <w:top w:val="single" w:color="auto" w:sz="8" w:space="0"/>
            </w:tcBorders>
            <w:noWrap/>
            <w:vAlign w:val="center"/>
          </w:tcPr>
          <w:p w14:paraId="318BEA7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中科院JCR</w:t>
            </w:r>
          </w:p>
          <w:p w14:paraId="5FAEFB0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377" w:type="dxa"/>
            <w:tcBorders>
              <w:top w:val="single" w:color="auto" w:sz="8" w:space="0"/>
            </w:tcBorders>
            <w:noWrap/>
            <w:vAlign w:val="center"/>
          </w:tcPr>
          <w:p w14:paraId="56E0F19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0EA0201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14:paraId="767C469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371" w:type="dxa"/>
            <w:noWrap/>
            <w:vAlign w:val="center"/>
          </w:tcPr>
          <w:p w14:paraId="708F759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1</w:t>
            </w:r>
          </w:p>
        </w:tc>
        <w:tc>
          <w:tcPr>
            <w:tcW w:w="2829" w:type="dxa"/>
            <w:noWrap/>
            <w:vAlign w:val="center"/>
          </w:tcPr>
          <w:p w14:paraId="4A9F0F5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Speckle noise suppression method in holographic display using optimized pixel processing/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Optics and Laser Technology/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 xml:space="preserve"> （刘素娟）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Long-Fei Feng, Shao-Jie Ji, Hao-Nan Yan, Kun Yang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（杨坤）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Ping-Ping Li, 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</w:p>
        </w:tc>
        <w:tc>
          <w:tcPr>
            <w:tcW w:w="743" w:type="dxa"/>
            <w:noWrap/>
            <w:vAlign w:val="center"/>
          </w:tcPr>
          <w:p w14:paraId="531BCB8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2025年181卷 111644页</w:t>
            </w:r>
          </w:p>
        </w:tc>
        <w:tc>
          <w:tcPr>
            <w:tcW w:w="660" w:type="dxa"/>
            <w:noWrap/>
            <w:vAlign w:val="center"/>
          </w:tcPr>
          <w:p w14:paraId="6C5BD4D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</w:rPr>
              <w:t>2025.02</w:t>
            </w:r>
          </w:p>
        </w:tc>
        <w:tc>
          <w:tcPr>
            <w:tcW w:w="720" w:type="dxa"/>
            <w:noWrap/>
            <w:vAlign w:val="center"/>
          </w:tcPr>
          <w:p w14:paraId="1A01B51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1"/>
                <w:highlight w:val="none"/>
              </w:rPr>
              <w:t>Di Wang</w:t>
            </w:r>
          </w:p>
          <w:p w14:paraId="4E8D23F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（王迪）</w:t>
            </w:r>
          </w:p>
        </w:tc>
        <w:tc>
          <w:tcPr>
            <w:tcW w:w="693" w:type="dxa"/>
            <w:noWrap/>
            <w:vAlign w:val="center"/>
          </w:tcPr>
          <w:p w14:paraId="17A9E18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1"/>
                <w:highlight w:val="none"/>
              </w:rPr>
              <w:t>Su-Juan Liu</w:t>
            </w:r>
          </w:p>
          <w:p w14:paraId="6B3D91E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（刘素娟）</w:t>
            </w:r>
          </w:p>
        </w:tc>
        <w:tc>
          <w:tcPr>
            <w:tcW w:w="773" w:type="dxa"/>
            <w:noWrap/>
            <w:vAlign w:val="center"/>
          </w:tcPr>
          <w:p w14:paraId="3412CB3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Zhengzhou University of Light Industry</w:t>
            </w:r>
          </w:p>
        </w:tc>
        <w:tc>
          <w:tcPr>
            <w:tcW w:w="1606" w:type="dxa"/>
            <w:noWrap/>
            <w:vAlign w:val="center"/>
          </w:tcPr>
          <w:p w14:paraId="500AF2B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 xml:space="preserve"> （刘素娟）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Long-Fei Feng, Shao-Jie Ji, Hao-Nan Yan, Kun Yang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（杨坤）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Ping-Ping Li, 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</w:p>
        </w:tc>
        <w:tc>
          <w:tcPr>
            <w:tcW w:w="422" w:type="dxa"/>
            <w:noWrap/>
            <w:vAlign w:val="center"/>
          </w:tcPr>
          <w:p w14:paraId="4F0D57D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  <w:lang w:val="en-US" w:eastAsia="zh-CN"/>
              </w:rPr>
              <w:t>2</w:t>
            </w:r>
          </w:p>
        </w:tc>
        <w:tc>
          <w:tcPr>
            <w:tcW w:w="740" w:type="dxa"/>
            <w:noWrap/>
            <w:vAlign w:val="center"/>
          </w:tcPr>
          <w:p w14:paraId="4DF02115">
            <w:pPr>
              <w:pStyle w:val="13"/>
              <w:adjustRightInd w:val="0"/>
              <w:ind w:firstLine="0" w:firstLineChars="0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1032092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二区</w:t>
            </w:r>
          </w:p>
        </w:tc>
        <w:tc>
          <w:tcPr>
            <w:tcW w:w="377" w:type="dxa"/>
            <w:noWrap/>
            <w:vAlign w:val="center"/>
          </w:tcPr>
          <w:p w14:paraId="6A95236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否</w:t>
            </w:r>
          </w:p>
        </w:tc>
      </w:tr>
      <w:tr w14:paraId="201D482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71" w:type="dxa"/>
            <w:noWrap/>
            <w:vAlign w:val="center"/>
          </w:tcPr>
          <w:p w14:paraId="18ADDC3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2</w:t>
            </w:r>
          </w:p>
        </w:tc>
        <w:tc>
          <w:tcPr>
            <w:tcW w:w="2829" w:type="dxa"/>
            <w:noWrap/>
            <w:vAlign w:val="center"/>
          </w:tcPr>
          <w:p w14:paraId="60E5E21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Large viewing angle holographic 3D display system based on maximum diffraction modulation/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Light: Advanced Manufacturing 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Nan-Nan Li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（李楠楠）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Yi-Long Li, Yi-Wei Zheng, Zhong-Quan Nie, Zhao-Song Li, Fan Chu, and Qiong-Hua Wang</w:t>
            </w:r>
          </w:p>
        </w:tc>
        <w:tc>
          <w:tcPr>
            <w:tcW w:w="743" w:type="dxa"/>
            <w:noWrap/>
            <w:vAlign w:val="center"/>
          </w:tcPr>
          <w:p w14:paraId="6E1FDB2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202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3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年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4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卷18页</w:t>
            </w:r>
          </w:p>
        </w:tc>
        <w:tc>
          <w:tcPr>
            <w:tcW w:w="660" w:type="dxa"/>
            <w:noWrap/>
            <w:vAlign w:val="center"/>
          </w:tcPr>
          <w:p w14:paraId="572773F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</w:rPr>
              <w:t>202</w:t>
            </w:r>
            <w:r>
              <w:rPr>
                <w:rFonts w:ascii="Times New Roman"/>
                <w:sz w:val="21"/>
                <w:szCs w:val="28"/>
                <w:highlight w:val="none"/>
              </w:rPr>
              <w:t>3</w:t>
            </w:r>
            <w:r>
              <w:rPr>
                <w:rFonts w:hint="eastAsia" w:ascii="Times New Roman"/>
                <w:sz w:val="21"/>
                <w:szCs w:val="28"/>
                <w:highlight w:val="none"/>
              </w:rPr>
              <w:t>.0</w:t>
            </w:r>
            <w:r>
              <w:rPr>
                <w:rFonts w:ascii="Times New Roman"/>
                <w:sz w:val="21"/>
                <w:szCs w:val="28"/>
                <w:highlight w:val="none"/>
              </w:rPr>
              <w:t>1</w:t>
            </w:r>
          </w:p>
        </w:tc>
        <w:tc>
          <w:tcPr>
            <w:tcW w:w="720" w:type="dxa"/>
            <w:noWrap/>
            <w:vAlign w:val="center"/>
          </w:tcPr>
          <w:p w14:paraId="1F98638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Qiong-Hua Wang</w:t>
            </w:r>
          </w:p>
        </w:tc>
        <w:tc>
          <w:tcPr>
            <w:tcW w:w="693" w:type="dxa"/>
            <w:noWrap/>
            <w:vAlign w:val="center"/>
          </w:tcPr>
          <w:p w14:paraId="3D4ED5E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1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1"/>
                <w:highlight w:val="none"/>
              </w:rPr>
              <w:t>Di Wang</w:t>
            </w:r>
          </w:p>
          <w:p w14:paraId="2AF33AB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1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Nan-Nan Li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（李楠楠）</w:t>
            </w:r>
          </w:p>
        </w:tc>
        <w:tc>
          <w:tcPr>
            <w:tcW w:w="773" w:type="dxa"/>
            <w:noWrap/>
            <w:vAlign w:val="center"/>
          </w:tcPr>
          <w:p w14:paraId="125C846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Bei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hang University</w:t>
            </w:r>
          </w:p>
        </w:tc>
        <w:tc>
          <w:tcPr>
            <w:tcW w:w="1606" w:type="dxa"/>
            <w:noWrap/>
            <w:vAlign w:val="center"/>
          </w:tcPr>
          <w:p w14:paraId="0250927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Nan-Nan Li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（李楠楠）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Yi-Long Li, Yi-Wei Zheng, Zhong-Quan Nie, Zhao-Song Li, Fan Chu, and Qiong-Hua Wang</w:t>
            </w:r>
          </w:p>
        </w:tc>
        <w:tc>
          <w:tcPr>
            <w:tcW w:w="422" w:type="dxa"/>
            <w:noWrap/>
            <w:vAlign w:val="center"/>
          </w:tcPr>
          <w:p w14:paraId="680F2B9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sz w:val="21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  <w:lang w:val="en-US" w:eastAsia="zh-CN"/>
              </w:rPr>
              <w:t>57</w:t>
            </w:r>
          </w:p>
        </w:tc>
        <w:tc>
          <w:tcPr>
            <w:tcW w:w="740" w:type="dxa"/>
            <w:noWrap/>
            <w:vAlign w:val="center"/>
          </w:tcPr>
          <w:p w14:paraId="2908AD62">
            <w:pPr>
              <w:adjustRightInd w:val="0"/>
              <w:jc w:val="center"/>
              <w:outlineLvl w:val="1"/>
              <w:rPr>
                <w:szCs w:val="28"/>
                <w:highlight w:val="none"/>
              </w:rPr>
            </w:pPr>
            <w:r>
              <w:rPr>
                <w:rFonts w:hint="eastAsia"/>
                <w:color w:val="000000"/>
                <w:szCs w:val="28"/>
                <w:highlight w:val="none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4CF04B7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一区</w:t>
            </w:r>
          </w:p>
        </w:tc>
        <w:tc>
          <w:tcPr>
            <w:tcW w:w="377" w:type="dxa"/>
            <w:noWrap/>
            <w:vAlign w:val="center"/>
          </w:tcPr>
          <w:p w14:paraId="398AE26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否</w:t>
            </w:r>
          </w:p>
        </w:tc>
      </w:tr>
      <w:tr w14:paraId="04C6556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371" w:type="dxa"/>
            <w:noWrap/>
            <w:vAlign w:val="center"/>
          </w:tcPr>
          <w:p w14:paraId="1E66418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3</w:t>
            </w:r>
          </w:p>
        </w:tc>
        <w:tc>
          <w:tcPr>
            <w:tcW w:w="2829" w:type="dxa"/>
            <w:noWrap/>
            <w:vAlign w:val="center"/>
          </w:tcPr>
          <w:p w14:paraId="53EDDDA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Adjustable liquid aperture to eliminate undesirable light in holographic projection 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Optics Express 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Chao Liu, Lei Li, Xin Zhou, and Qiong-Hua Wang</w:t>
            </w:r>
          </w:p>
        </w:tc>
        <w:tc>
          <w:tcPr>
            <w:tcW w:w="743" w:type="dxa"/>
            <w:noWrap/>
            <w:vAlign w:val="center"/>
          </w:tcPr>
          <w:p w14:paraId="675DD75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20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16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年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24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卷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2098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页</w:t>
            </w:r>
          </w:p>
        </w:tc>
        <w:tc>
          <w:tcPr>
            <w:tcW w:w="660" w:type="dxa"/>
            <w:noWrap/>
            <w:vAlign w:val="center"/>
          </w:tcPr>
          <w:p w14:paraId="161B05D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</w:rPr>
              <w:t>20</w:t>
            </w:r>
            <w:r>
              <w:rPr>
                <w:rFonts w:ascii="Times New Roman"/>
                <w:sz w:val="21"/>
                <w:szCs w:val="28"/>
                <w:highlight w:val="none"/>
              </w:rPr>
              <w:t>16</w:t>
            </w:r>
            <w:r>
              <w:rPr>
                <w:rFonts w:hint="eastAsia" w:ascii="Times New Roman"/>
                <w:sz w:val="21"/>
                <w:szCs w:val="28"/>
                <w:highlight w:val="none"/>
              </w:rPr>
              <w:t>.0</w:t>
            </w:r>
            <w:r>
              <w:rPr>
                <w:rFonts w:ascii="Times New Roman"/>
                <w:sz w:val="21"/>
                <w:szCs w:val="28"/>
                <w:highlight w:val="none"/>
              </w:rPr>
              <w:t>2</w:t>
            </w:r>
          </w:p>
        </w:tc>
        <w:tc>
          <w:tcPr>
            <w:tcW w:w="720" w:type="dxa"/>
            <w:noWrap/>
            <w:vAlign w:val="center"/>
          </w:tcPr>
          <w:p w14:paraId="25BCC04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Qiong-Hua Wang</w:t>
            </w:r>
          </w:p>
        </w:tc>
        <w:tc>
          <w:tcPr>
            <w:tcW w:w="693" w:type="dxa"/>
            <w:noWrap/>
            <w:vAlign w:val="center"/>
          </w:tcPr>
          <w:p w14:paraId="5529718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</w:p>
        </w:tc>
        <w:tc>
          <w:tcPr>
            <w:tcW w:w="773" w:type="dxa"/>
            <w:noWrap/>
            <w:vAlign w:val="center"/>
          </w:tcPr>
          <w:p w14:paraId="31F647E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S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ichuan University</w:t>
            </w:r>
          </w:p>
        </w:tc>
        <w:tc>
          <w:tcPr>
            <w:tcW w:w="1606" w:type="dxa"/>
            <w:noWrap/>
            <w:vAlign w:val="center"/>
          </w:tcPr>
          <w:p w14:paraId="5031314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Chao Liu, Lei Li, Xin Zhou, and Qiong-Hua Wang</w:t>
            </w:r>
          </w:p>
        </w:tc>
        <w:tc>
          <w:tcPr>
            <w:tcW w:w="422" w:type="dxa"/>
            <w:noWrap/>
            <w:vAlign w:val="center"/>
          </w:tcPr>
          <w:p w14:paraId="0A3D1C4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sz w:val="21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  <w:lang w:val="en-US" w:eastAsia="zh-CN"/>
              </w:rPr>
              <w:t>16</w:t>
            </w:r>
          </w:p>
        </w:tc>
        <w:tc>
          <w:tcPr>
            <w:tcW w:w="740" w:type="dxa"/>
            <w:noWrap/>
            <w:vAlign w:val="center"/>
          </w:tcPr>
          <w:p w14:paraId="6572D0AB">
            <w:pPr>
              <w:adjustRightInd w:val="0"/>
              <w:jc w:val="center"/>
              <w:outlineLvl w:val="1"/>
              <w:rPr>
                <w:szCs w:val="28"/>
                <w:highlight w:val="none"/>
              </w:rPr>
            </w:pPr>
            <w:r>
              <w:rPr>
                <w:rFonts w:hint="eastAsia"/>
                <w:color w:val="000000"/>
                <w:szCs w:val="28"/>
                <w:highlight w:val="none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00BC1A2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二区</w:t>
            </w:r>
          </w:p>
        </w:tc>
        <w:tc>
          <w:tcPr>
            <w:tcW w:w="377" w:type="dxa"/>
            <w:noWrap/>
            <w:vAlign w:val="center"/>
          </w:tcPr>
          <w:p w14:paraId="4B43D81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否</w:t>
            </w:r>
          </w:p>
        </w:tc>
      </w:tr>
      <w:tr w14:paraId="437F37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71" w:type="dxa"/>
            <w:noWrap/>
            <w:vAlign w:val="center"/>
          </w:tcPr>
          <w:p w14:paraId="47C754A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4</w:t>
            </w:r>
          </w:p>
        </w:tc>
        <w:tc>
          <w:tcPr>
            <w:tcW w:w="2829" w:type="dxa"/>
            <w:noWrap/>
            <w:vAlign w:val="center"/>
          </w:tcPr>
          <w:p w14:paraId="4507EE7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Holographic display method with a large field of view based on a holographic functional screen/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Applied Optics/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（刘素娟）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Feng-Xiao Zhai, Nan-Nan Liu, Qi-Yun Hao</w:t>
            </w:r>
          </w:p>
        </w:tc>
        <w:tc>
          <w:tcPr>
            <w:tcW w:w="743" w:type="dxa"/>
            <w:noWrap/>
            <w:vAlign w:val="center"/>
          </w:tcPr>
          <w:p w14:paraId="5C5392C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2020年59卷，5983-5988页</w:t>
            </w:r>
          </w:p>
        </w:tc>
        <w:tc>
          <w:tcPr>
            <w:tcW w:w="660" w:type="dxa"/>
            <w:noWrap/>
            <w:vAlign w:val="center"/>
          </w:tcPr>
          <w:p w14:paraId="0D33F1A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</w:rPr>
              <w:t>2020.07</w:t>
            </w:r>
          </w:p>
        </w:tc>
        <w:tc>
          <w:tcPr>
            <w:tcW w:w="720" w:type="dxa"/>
            <w:noWrap/>
            <w:vAlign w:val="center"/>
          </w:tcPr>
          <w:p w14:paraId="1CCA876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Di Wang</w:t>
            </w:r>
          </w:p>
          <w:p w14:paraId="20BA792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</w:p>
        </w:tc>
        <w:tc>
          <w:tcPr>
            <w:tcW w:w="693" w:type="dxa"/>
            <w:noWrap/>
            <w:vAlign w:val="center"/>
          </w:tcPr>
          <w:p w14:paraId="2CC6A01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Su-Juan Liu</w:t>
            </w:r>
          </w:p>
          <w:p w14:paraId="5AF9554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（刘素娟）</w:t>
            </w:r>
          </w:p>
        </w:tc>
        <w:tc>
          <w:tcPr>
            <w:tcW w:w="773" w:type="dxa"/>
            <w:noWrap/>
            <w:vAlign w:val="center"/>
          </w:tcPr>
          <w:p w14:paraId="2A4A198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Zhengzhou University of Light Industry</w:t>
            </w:r>
          </w:p>
        </w:tc>
        <w:tc>
          <w:tcPr>
            <w:tcW w:w="1606" w:type="dxa"/>
            <w:noWrap/>
            <w:vAlign w:val="center"/>
          </w:tcPr>
          <w:p w14:paraId="77C13BF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（刘素娟）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Di Wang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（王迪）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, Feng-Xiao Zhai, Nan-Nan Liu, Qi-Yun Hao</w:t>
            </w:r>
          </w:p>
        </w:tc>
        <w:tc>
          <w:tcPr>
            <w:tcW w:w="422" w:type="dxa"/>
            <w:noWrap/>
            <w:vAlign w:val="center"/>
          </w:tcPr>
          <w:p w14:paraId="4B270F6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highlight w:val="none"/>
                <w:lang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  <w:lang w:val="en-US" w:eastAsia="zh-CN"/>
              </w:rPr>
              <w:t>6</w:t>
            </w:r>
          </w:p>
        </w:tc>
        <w:tc>
          <w:tcPr>
            <w:tcW w:w="740" w:type="dxa"/>
            <w:noWrap/>
            <w:vAlign w:val="center"/>
          </w:tcPr>
          <w:p w14:paraId="3485FE8A">
            <w:pPr>
              <w:adjustRightInd w:val="0"/>
              <w:jc w:val="center"/>
              <w:outlineLvl w:val="1"/>
              <w:rPr>
                <w:szCs w:val="28"/>
                <w:highlight w:val="none"/>
              </w:rPr>
            </w:pPr>
            <w:r>
              <w:rPr>
                <w:rFonts w:hint="eastAsia"/>
                <w:color w:val="000000"/>
                <w:szCs w:val="28"/>
                <w:highlight w:val="none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1382C91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三区</w:t>
            </w:r>
          </w:p>
        </w:tc>
        <w:tc>
          <w:tcPr>
            <w:tcW w:w="377" w:type="dxa"/>
            <w:noWrap/>
            <w:vAlign w:val="center"/>
          </w:tcPr>
          <w:p w14:paraId="1B69C38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否</w:t>
            </w:r>
          </w:p>
        </w:tc>
      </w:tr>
      <w:tr w14:paraId="7D6C4C3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371" w:type="dxa"/>
            <w:noWrap/>
            <w:vAlign w:val="center"/>
          </w:tcPr>
          <w:p w14:paraId="02806C4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5</w:t>
            </w:r>
          </w:p>
        </w:tc>
        <w:tc>
          <w:tcPr>
            <w:tcW w:w="2829" w:type="dxa"/>
            <w:noWrap/>
            <w:vAlign w:val="center"/>
          </w:tcPr>
          <w:p w14:paraId="13C6F70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18"/>
              </w:rPr>
              <w:t>Speckle noise suppression method in holographic display using time multiplexing technique/</w:t>
            </w:r>
            <w:r>
              <w:rPr>
                <w:sz w:val="21"/>
                <w:szCs w:val="18"/>
              </w:rPr>
              <w:t xml:space="preserve"> </w:t>
            </w:r>
            <w:r>
              <w:rPr>
                <w:rFonts w:ascii="Times New Roman"/>
                <w:sz w:val="21"/>
                <w:szCs w:val="18"/>
              </w:rPr>
              <w:t>Optics Communications/</w:t>
            </w:r>
            <w:r>
              <w:rPr>
                <w:sz w:val="21"/>
                <w:szCs w:val="18"/>
              </w:rPr>
              <w:t xml:space="preserve"> </w:t>
            </w:r>
            <w:r>
              <w:rPr>
                <w:rFonts w:ascii="Times New Roman"/>
                <w:sz w:val="21"/>
                <w:szCs w:val="18"/>
              </w:rPr>
              <w:t>Su-Juan Liu</w:t>
            </w:r>
            <w:r>
              <w:rPr>
                <w:rFonts w:hint="eastAsia" w:ascii="Times New Roman"/>
                <w:sz w:val="21"/>
                <w:szCs w:val="18"/>
              </w:rPr>
              <w:t>（刘素娟）</w:t>
            </w:r>
            <w:r>
              <w:rPr>
                <w:rFonts w:ascii="Times New Roman"/>
                <w:sz w:val="21"/>
                <w:szCs w:val="18"/>
              </w:rPr>
              <w:t>, Di Wang</w:t>
            </w:r>
            <w:r>
              <w:rPr>
                <w:rFonts w:hint="eastAsia" w:ascii="Times New Roman"/>
                <w:sz w:val="21"/>
                <w:szCs w:val="18"/>
              </w:rPr>
              <w:t>（王迪）</w:t>
            </w:r>
            <w:r>
              <w:rPr>
                <w:rFonts w:ascii="Times New Roman"/>
                <w:sz w:val="21"/>
                <w:szCs w:val="18"/>
              </w:rPr>
              <w:t>, Qiong-Hua Wang</w:t>
            </w:r>
          </w:p>
        </w:tc>
        <w:tc>
          <w:tcPr>
            <w:tcW w:w="743" w:type="dxa"/>
            <w:noWrap/>
            <w:vAlign w:val="center"/>
          </w:tcPr>
          <w:p w14:paraId="52FE839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2019</w:t>
            </w:r>
            <w:r>
              <w:rPr>
                <w:rFonts w:hint="eastAsia" w:ascii="Times New Roman"/>
                <w:sz w:val="21"/>
                <w:szCs w:val="21"/>
              </w:rPr>
              <w:t>年</w:t>
            </w:r>
            <w:r>
              <w:rPr>
                <w:rFonts w:ascii="Times New Roman"/>
                <w:sz w:val="21"/>
                <w:szCs w:val="21"/>
              </w:rPr>
              <w:t>436</w:t>
            </w:r>
            <w:r>
              <w:rPr>
                <w:rFonts w:hint="eastAsia" w:ascii="Times New Roman"/>
                <w:sz w:val="21"/>
                <w:szCs w:val="21"/>
              </w:rPr>
              <w:t>卷</w:t>
            </w:r>
            <w:r>
              <w:rPr>
                <w:rFonts w:ascii="Times New Roman"/>
                <w:sz w:val="21"/>
                <w:szCs w:val="21"/>
              </w:rPr>
              <w:t>253-257</w:t>
            </w:r>
            <w:r>
              <w:rPr>
                <w:rFonts w:hint="eastAsia" w:ascii="Times New Roman"/>
                <w:sz w:val="21"/>
                <w:szCs w:val="21"/>
              </w:rPr>
              <w:t>页</w:t>
            </w:r>
          </w:p>
        </w:tc>
        <w:tc>
          <w:tcPr>
            <w:tcW w:w="660" w:type="dxa"/>
            <w:noWrap/>
            <w:vAlign w:val="center"/>
          </w:tcPr>
          <w:p w14:paraId="090BC28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2019.04</w:t>
            </w:r>
          </w:p>
        </w:tc>
        <w:tc>
          <w:tcPr>
            <w:tcW w:w="720" w:type="dxa"/>
            <w:noWrap/>
            <w:vAlign w:val="center"/>
          </w:tcPr>
          <w:p w14:paraId="23327A2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1"/>
              </w:rPr>
              <w:t>Qiong-Hua Wang</w:t>
            </w:r>
          </w:p>
        </w:tc>
        <w:tc>
          <w:tcPr>
            <w:tcW w:w="693" w:type="dxa"/>
            <w:noWrap/>
            <w:vAlign w:val="center"/>
          </w:tcPr>
          <w:p w14:paraId="6284099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ascii="Times New Roman"/>
                <w:sz w:val="21"/>
                <w:szCs w:val="21"/>
              </w:rPr>
              <w:t>Su-Juan Liu</w:t>
            </w:r>
          </w:p>
          <w:p w14:paraId="7E71029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1"/>
              </w:rPr>
            </w:pPr>
            <w:r>
              <w:rPr>
                <w:rFonts w:hint="eastAsia" w:ascii="Times New Roman"/>
                <w:sz w:val="21"/>
                <w:szCs w:val="21"/>
              </w:rPr>
              <w:t>（刘素娟）</w:t>
            </w:r>
          </w:p>
        </w:tc>
        <w:tc>
          <w:tcPr>
            <w:tcW w:w="773" w:type="dxa"/>
            <w:noWrap/>
            <w:vAlign w:val="center"/>
          </w:tcPr>
          <w:p w14:paraId="507DCDD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Z</w:t>
            </w:r>
            <w:r>
              <w:rPr>
                <w:rFonts w:ascii="Times New Roman"/>
                <w:color w:val="000000"/>
                <w:sz w:val="21"/>
                <w:szCs w:val="28"/>
              </w:rPr>
              <w:t>hengzhou University of Light Industry</w:t>
            </w:r>
          </w:p>
        </w:tc>
        <w:tc>
          <w:tcPr>
            <w:tcW w:w="1606" w:type="dxa"/>
            <w:noWrap/>
            <w:vAlign w:val="center"/>
          </w:tcPr>
          <w:p w14:paraId="054EDA1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18"/>
              </w:rPr>
              <w:t>Su-Juan Liu</w:t>
            </w:r>
            <w:r>
              <w:rPr>
                <w:rFonts w:hint="eastAsia" w:ascii="Times New Roman"/>
                <w:sz w:val="21"/>
                <w:szCs w:val="18"/>
              </w:rPr>
              <w:t>（刘素娟）</w:t>
            </w:r>
            <w:r>
              <w:rPr>
                <w:rFonts w:ascii="Times New Roman"/>
                <w:sz w:val="21"/>
                <w:szCs w:val="18"/>
              </w:rPr>
              <w:t>, Di Wang</w:t>
            </w:r>
            <w:r>
              <w:rPr>
                <w:rFonts w:hint="eastAsia" w:ascii="Times New Roman"/>
                <w:sz w:val="21"/>
                <w:szCs w:val="18"/>
              </w:rPr>
              <w:t>（王迪）</w:t>
            </w:r>
            <w:r>
              <w:rPr>
                <w:rFonts w:ascii="Times New Roman"/>
                <w:sz w:val="21"/>
                <w:szCs w:val="18"/>
              </w:rPr>
              <w:t>, Qiong-Hua Wang</w:t>
            </w:r>
          </w:p>
        </w:tc>
        <w:tc>
          <w:tcPr>
            <w:tcW w:w="422" w:type="dxa"/>
            <w:noWrap/>
            <w:vAlign w:val="center"/>
          </w:tcPr>
          <w:p w14:paraId="3D10AF0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sz w:val="21"/>
                <w:szCs w:val="28"/>
                <w:lang w:val="en-US"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37</w:t>
            </w:r>
          </w:p>
        </w:tc>
        <w:tc>
          <w:tcPr>
            <w:tcW w:w="740" w:type="dxa"/>
            <w:noWrap/>
            <w:vAlign w:val="center"/>
          </w:tcPr>
          <w:p w14:paraId="44171B6C">
            <w:pPr>
              <w:adjustRightInd w:val="0"/>
              <w:jc w:val="center"/>
              <w:outlineLvl w:val="1"/>
              <w:rPr>
                <w:szCs w:val="28"/>
              </w:rPr>
            </w:pPr>
            <w:r>
              <w:rPr>
                <w:rFonts w:hint="eastAsia"/>
                <w:color w:val="000000"/>
                <w:szCs w:val="28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4583D87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三区</w:t>
            </w:r>
          </w:p>
        </w:tc>
        <w:tc>
          <w:tcPr>
            <w:tcW w:w="377" w:type="dxa"/>
            <w:noWrap/>
            <w:vAlign w:val="center"/>
          </w:tcPr>
          <w:p w14:paraId="6E1381ED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否</w:t>
            </w:r>
          </w:p>
        </w:tc>
      </w:tr>
      <w:tr w14:paraId="61E4CA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71" w:type="dxa"/>
            <w:noWrap/>
            <w:vAlign w:val="center"/>
          </w:tcPr>
          <w:p w14:paraId="3EB5DD2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6</w:t>
            </w:r>
          </w:p>
        </w:tc>
        <w:tc>
          <w:tcPr>
            <w:tcW w:w="2829" w:type="dxa"/>
            <w:noWrap/>
            <w:vAlign w:val="center"/>
          </w:tcPr>
          <w:p w14:paraId="61F14FD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Holographic near-eye 3D display method based on large-size hologram/</w:t>
            </w:r>
            <w: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</w:rPr>
              <w:t>Frontiers in Materials/</w:t>
            </w:r>
            <w: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（刘素娟）</w:t>
            </w:r>
            <w:r>
              <w:rPr>
                <w:rFonts w:ascii="Times New Roman"/>
                <w:color w:val="000000"/>
                <w:sz w:val="21"/>
                <w:szCs w:val="28"/>
              </w:rPr>
              <w:t>, Ning-Tao Ma, Ping-Ping Li, Di Wang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（王迪）</w:t>
            </w:r>
          </w:p>
        </w:tc>
        <w:tc>
          <w:tcPr>
            <w:tcW w:w="743" w:type="dxa"/>
            <w:noWrap/>
            <w:vAlign w:val="center"/>
          </w:tcPr>
          <w:p w14:paraId="0191F4C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2021年8卷739449页</w:t>
            </w:r>
          </w:p>
        </w:tc>
        <w:tc>
          <w:tcPr>
            <w:tcW w:w="660" w:type="dxa"/>
            <w:noWrap/>
            <w:vAlign w:val="center"/>
          </w:tcPr>
          <w:p w14:paraId="57685D2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2021.08</w:t>
            </w:r>
          </w:p>
        </w:tc>
        <w:tc>
          <w:tcPr>
            <w:tcW w:w="720" w:type="dxa"/>
            <w:noWrap/>
            <w:vAlign w:val="center"/>
          </w:tcPr>
          <w:p w14:paraId="59CB238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Di Wang</w:t>
            </w:r>
          </w:p>
          <w:p w14:paraId="611E960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（王迪）</w:t>
            </w:r>
          </w:p>
        </w:tc>
        <w:tc>
          <w:tcPr>
            <w:tcW w:w="693" w:type="dxa"/>
            <w:noWrap/>
            <w:vAlign w:val="center"/>
          </w:tcPr>
          <w:p w14:paraId="6D6DABC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（刘素娟）</w:t>
            </w:r>
          </w:p>
        </w:tc>
        <w:tc>
          <w:tcPr>
            <w:tcW w:w="773" w:type="dxa"/>
            <w:noWrap/>
            <w:vAlign w:val="center"/>
          </w:tcPr>
          <w:p w14:paraId="236313E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Zhengzhou University of Light Industry</w:t>
            </w:r>
          </w:p>
        </w:tc>
        <w:tc>
          <w:tcPr>
            <w:tcW w:w="1606" w:type="dxa"/>
            <w:noWrap/>
            <w:vAlign w:val="center"/>
          </w:tcPr>
          <w:p w14:paraId="2B00856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Su-Juan Liu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（刘素娟）</w:t>
            </w:r>
            <w:r>
              <w:rPr>
                <w:rFonts w:ascii="Times New Roman"/>
                <w:color w:val="000000"/>
                <w:sz w:val="21"/>
                <w:szCs w:val="28"/>
              </w:rPr>
              <w:t>, Ning-Tao Ma, Ping-Ping Li, Di Wang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（王迪）</w:t>
            </w:r>
          </w:p>
        </w:tc>
        <w:tc>
          <w:tcPr>
            <w:tcW w:w="422" w:type="dxa"/>
            <w:noWrap/>
            <w:vAlign w:val="center"/>
          </w:tcPr>
          <w:p w14:paraId="4E098DA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4</w:t>
            </w:r>
          </w:p>
        </w:tc>
        <w:tc>
          <w:tcPr>
            <w:tcW w:w="740" w:type="dxa"/>
            <w:noWrap/>
            <w:vAlign w:val="center"/>
          </w:tcPr>
          <w:p w14:paraId="5F8B9748">
            <w:pPr>
              <w:adjustRightInd w:val="0"/>
              <w:jc w:val="center"/>
              <w:outlineLvl w:val="1"/>
              <w:rPr>
                <w:szCs w:val="28"/>
              </w:rPr>
            </w:pPr>
            <w:r>
              <w:rPr>
                <w:rFonts w:hint="eastAsia"/>
                <w:color w:val="000000"/>
                <w:szCs w:val="28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093782AC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三区</w:t>
            </w:r>
          </w:p>
        </w:tc>
        <w:tc>
          <w:tcPr>
            <w:tcW w:w="377" w:type="dxa"/>
            <w:noWrap/>
            <w:vAlign w:val="center"/>
          </w:tcPr>
          <w:p w14:paraId="319CA7F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否</w:t>
            </w:r>
          </w:p>
        </w:tc>
      </w:tr>
      <w:tr w14:paraId="3846A7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371" w:type="dxa"/>
            <w:noWrap/>
            <w:vAlign w:val="center"/>
          </w:tcPr>
          <w:p w14:paraId="2142488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7</w:t>
            </w:r>
          </w:p>
        </w:tc>
        <w:tc>
          <w:tcPr>
            <w:tcW w:w="2829" w:type="dxa"/>
            <w:noWrap/>
            <w:vAlign w:val="center"/>
          </w:tcPr>
          <w:p w14:paraId="06E4CEF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Color 3D display and security via monochrome</w:t>
            </w:r>
          </w:p>
          <w:p w14:paraId="12E4997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Scenes/Optics Letters/</w:t>
            </w:r>
            <w:r>
              <w:rPr>
                <w:highlight w:val="none"/>
              </w:rPr>
              <w:t xml:space="preserve"> </w:t>
            </w:r>
            <w:r>
              <w:rPr>
                <w:rFonts w:ascii="Times New Roman"/>
                <w:color w:val="000000"/>
                <w:sz w:val="21"/>
                <w:szCs w:val="28"/>
                <w:highlight w:val="none"/>
              </w:rPr>
              <w:t>Jun-Feng Guo, Yu Kou, Seok-Tae Kim, Xiao-Wei Li</w:t>
            </w:r>
            <w:r>
              <w:rPr>
                <w:rFonts w:hint="eastAsia" w:ascii="Times New Roman"/>
                <w:color w:val="000000"/>
                <w:sz w:val="21"/>
                <w:szCs w:val="28"/>
                <w:highlight w:val="none"/>
              </w:rPr>
              <w:t>（李小伟）</w:t>
            </w:r>
          </w:p>
        </w:tc>
        <w:tc>
          <w:tcPr>
            <w:tcW w:w="743" w:type="dxa"/>
            <w:noWrap/>
            <w:vAlign w:val="center"/>
          </w:tcPr>
          <w:p w14:paraId="66E166B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2023年48卷1570-1573页</w:t>
            </w:r>
          </w:p>
        </w:tc>
        <w:tc>
          <w:tcPr>
            <w:tcW w:w="660" w:type="dxa"/>
            <w:noWrap/>
            <w:vAlign w:val="center"/>
          </w:tcPr>
          <w:p w14:paraId="702E628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2023.04</w:t>
            </w:r>
          </w:p>
        </w:tc>
        <w:tc>
          <w:tcPr>
            <w:tcW w:w="720" w:type="dxa"/>
            <w:noWrap/>
            <w:vAlign w:val="center"/>
          </w:tcPr>
          <w:p w14:paraId="3E87C6E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Xiao-Wei Li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（李小伟）</w:t>
            </w:r>
          </w:p>
        </w:tc>
        <w:tc>
          <w:tcPr>
            <w:tcW w:w="693" w:type="dxa"/>
            <w:noWrap/>
            <w:vAlign w:val="center"/>
          </w:tcPr>
          <w:p w14:paraId="79E5E27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Jun-Feng Guo</w:t>
            </w:r>
          </w:p>
        </w:tc>
        <w:tc>
          <w:tcPr>
            <w:tcW w:w="773" w:type="dxa"/>
            <w:noWrap/>
            <w:vAlign w:val="center"/>
          </w:tcPr>
          <w:p w14:paraId="032E77B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S</w:t>
            </w:r>
            <w:r>
              <w:rPr>
                <w:rFonts w:ascii="Times New Roman"/>
                <w:color w:val="000000"/>
                <w:sz w:val="21"/>
                <w:szCs w:val="28"/>
              </w:rPr>
              <w:t>ichuan University</w:t>
            </w:r>
          </w:p>
        </w:tc>
        <w:tc>
          <w:tcPr>
            <w:tcW w:w="1606" w:type="dxa"/>
            <w:noWrap/>
            <w:vAlign w:val="center"/>
          </w:tcPr>
          <w:p w14:paraId="28B3FBE7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Jun-Feng Guo, Yu Kou, Seok-Tae Kim, Xiao-Wei Li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（李小伟）</w:t>
            </w:r>
          </w:p>
        </w:tc>
        <w:tc>
          <w:tcPr>
            <w:tcW w:w="422" w:type="dxa"/>
            <w:noWrap/>
            <w:vAlign w:val="center"/>
          </w:tcPr>
          <w:p w14:paraId="1BD3A4E3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0</w:t>
            </w:r>
          </w:p>
        </w:tc>
        <w:tc>
          <w:tcPr>
            <w:tcW w:w="740" w:type="dxa"/>
            <w:noWrap/>
            <w:vAlign w:val="center"/>
          </w:tcPr>
          <w:p w14:paraId="21696C63">
            <w:pPr>
              <w:adjustRightInd w:val="0"/>
              <w:jc w:val="center"/>
              <w:outlineLvl w:val="1"/>
              <w:rPr>
                <w:szCs w:val="28"/>
              </w:rPr>
            </w:pPr>
            <w:r>
              <w:rPr>
                <w:rFonts w:hint="eastAsia"/>
                <w:color w:val="000000"/>
                <w:szCs w:val="28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646FD639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二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区</w:t>
            </w:r>
          </w:p>
        </w:tc>
        <w:tc>
          <w:tcPr>
            <w:tcW w:w="377" w:type="dxa"/>
            <w:noWrap/>
            <w:vAlign w:val="center"/>
          </w:tcPr>
          <w:p w14:paraId="317A34C1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否</w:t>
            </w:r>
          </w:p>
        </w:tc>
      </w:tr>
      <w:tr w14:paraId="2456D18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371" w:type="dxa"/>
            <w:noWrap/>
            <w:vAlign w:val="center"/>
          </w:tcPr>
          <w:p w14:paraId="09858C3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8</w:t>
            </w:r>
          </w:p>
        </w:tc>
        <w:tc>
          <w:tcPr>
            <w:tcW w:w="2829" w:type="dxa"/>
            <w:noWrap/>
            <w:vAlign w:val="center"/>
          </w:tcPr>
          <w:p w14:paraId="6361699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Speckle noise suppression method in holographic display based on pixel processing/</w:t>
            </w:r>
            <w:r>
              <w:rPr>
                <w:rFonts w:ascii="Times New Roman"/>
                <w:color w:val="000000"/>
                <w:sz w:val="21"/>
                <w:szCs w:val="28"/>
              </w:rPr>
              <w:t>Applied Optics</w:t>
            </w:r>
            <w:r>
              <w:rPr>
                <w:rFonts w:hint="eastAsia" w:ascii="Times New Roman"/>
                <w:sz w:val="21"/>
                <w:szCs w:val="28"/>
              </w:rPr>
              <w:t>/Su-Juan Liu（刘素娟）, Shuai-Ze Kang, Long-Fei Feng, Kun Yang（杨坤）, Bo Zhang, Qin Liu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（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刘琴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）</w:t>
            </w:r>
            <w:r>
              <w:rPr>
                <w:rFonts w:hint="eastAsia" w:ascii="Times New Roman"/>
                <w:sz w:val="21"/>
                <w:szCs w:val="28"/>
              </w:rPr>
              <w:t>, Di Wang（王迪）</w:t>
            </w:r>
          </w:p>
          <w:p w14:paraId="2B1D45A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  <w:p w14:paraId="1D0642E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43" w:type="dxa"/>
            <w:shd w:val="clear" w:color="auto" w:fill="auto"/>
            <w:noWrap/>
            <w:vAlign w:val="center"/>
          </w:tcPr>
          <w:p w14:paraId="14408D7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2024年63卷1438-1444页</w:t>
            </w:r>
          </w:p>
        </w:tc>
        <w:tc>
          <w:tcPr>
            <w:tcW w:w="660" w:type="dxa"/>
            <w:shd w:val="clear" w:color="auto" w:fill="auto"/>
            <w:noWrap/>
            <w:vAlign w:val="center"/>
          </w:tcPr>
          <w:p w14:paraId="0B7F5B3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2024.02</w:t>
            </w:r>
          </w:p>
        </w:tc>
        <w:tc>
          <w:tcPr>
            <w:tcW w:w="720" w:type="dxa"/>
            <w:noWrap/>
            <w:vAlign w:val="center"/>
          </w:tcPr>
          <w:p w14:paraId="2FDABF58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Di Wang</w:t>
            </w:r>
            <w:r>
              <w:rPr>
                <w:rFonts w:hint="eastAsia" w:ascii="Times New Roman"/>
                <w:color w:val="000000"/>
                <w:sz w:val="21"/>
                <w:szCs w:val="28"/>
              </w:rPr>
              <w:t>（王迪）</w:t>
            </w:r>
          </w:p>
        </w:tc>
        <w:tc>
          <w:tcPr>
            <w:tcW w:w="693" w:type="dxa"/>
            <w:noWrap/>
            <w:vAlign w:val="center"/>
          </w:tcPr>
          <w:p w14:paraId="75EB6A8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Su-Juan Liu</w:t>
            </w:r>
          </w:p>
          <w:p w14:paraId="6363D6C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color w:val="000000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（刘素娟）</w:t>
            </w:r>
          </w:p>
        </w:tc>
        <w:tc>
          <w:tcPr>
            <w:tcW w:w="773" w:type="dxa"/>
            <w:noWrap/>
            <w:vAlign w:val="center"/>
          </w:tcPr>
          <w:p w14:paraId="083265AF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color w:val="000000"/>
                <w:sz w:val="21"/>
                <w:szCs w:val="28"/>
              </w:rPr>
              <w:t>Zhengzhou University of Light Industry</w:t>
            </w:r>
          </w:p>
        </w:tc>
        <w:tc>
          <w:tcPr>
            <w:tcW w:w="1606" w:type="dxa"/>
            <w:noWrap/>
            <w:vAlign w:val="center"/>
          </w:tcPr>
          <w:p w14:paraId="1073AD9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sz w:val="21"/>
                <w:szCs w:val="28"/>
              </w:rPr>
              <w:t>Su-Juan Liu（刘素娟）, Shuai-Ze Kang, Long-Fei Feng, Kun Yang（杨坤）, Bo Zhang, Qin Liu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（</w:t>
            </w:r>
            <w:r>
              <w:rPr>
                <w:rFonts w:hint="eastAsia" w:ascii="Times New Roman"/>
                <w:sz w:val="21"/>
                <w:szCs w:val="28"/>
                <w:lang w:val="en-US" w:eastAsia="zh-CN"/>
              </w:rPr>
              <w:t>刘琴</w:t>
            </w:r>
            <w:r>
              <w:rPr>
                <w:rFonts w:hint="eastAsia" w:ascii="Times New Roman"/>
                <w:sz w:val="21"/>
                <w:szCs w:val="28"/>
                <w:lang w:eastAsia="zh-CN"/>
              </w:rPr>
              <w:t>）</w:t>
            </w:r>
            <w:r>
              <w:rPr>
                <w:rFonts w:hint="eastAsia" w:ascii="Times New Roman"/>
                <w:sz w:val="21"/>
                <w:szCs w:val="28"/>
              </w:rPr>
              <w:t>, Di Wang（王迪）</w:t>
            </w:r>
          </w:p>
          <w:p w14:paraId="40D62FA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422" w:type="dxa"/>
            <w:noWrap/>
            <w:vAlign w:val="center"/>
          </w:tcPr>
          <w:p w14:paraId="73EDDD72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eastAsia" w:ascii="Times New Roman" w:eastAsia="宋体"/>
                <w:sz w:val="21"/>
                <w:szCs w:val="28"/>
                <w:lang w:eastAsia="zh-CN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  <w:lang w:val="en-US" w:eastAsia="zh-CN"/>
              </w:rPr>
              <w:t>2</w:t>
            </w:r>
          </w:p>
        </w:tc>
        <w:tc>
          <w:tcPr>
            <w:tcW w:w="740" w:type="dxa"/>
            <w:noWrap/>
            <w:vAlign w:val="center"/>
          </w:tcPr>
          <w:p w14:paraId="075553D5">
            <w:pPr>
              <w:adjustRightInd w:val="0"/>
              <w:jc w:val="center"/>
              <w:outlineLvl w:val="1"/>
              <w:rPr>
                <w:szCs w:val="28"/>
              </w:rPr>
            </w:pPr>
            <w:r>
              <w:rPr>
                <w:rFonts w:hint="eastAsia"/>
                <w:color w:val="000000"/>
                <w:szCs w:val="28"/>
              </w:rPr>
              <w:t>1.SCI(科学引文索引)</w:t>
            </w:r>
          </w:p>
        </w:tc>
        <w:tc>
          <w:tcPr>
            <w:tcW w:w="554" w:type="dxa"/>
            <w:noWrap/>
            <w:vAlign w:val="center"/>
          </w:tcPr>
          <w:p w14:paraId="6F7DB7C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四区</w:t>
            </w:r>
          </w:p>
        </w:tc>
        <w:tc>
          <w:tcPr>
            <w:tcW w:w="377" w:type="dxa"/>
            <w:noWrap/>
            <w:vAlign w:val="center"/>
          </w:tcPr>
          <w:p w14:paraId="44FFCC8B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hint="eastAsia" w:ascii="Times New Roman"/>
                <w:color w:val="000000"/>
                <w:sz w:val="21"/>
                <w:szCs w:val="28"/>
              </w:rPr>
              <w:t>否</w:t>
            </w:r>
          </w:p>
        </w:tc>
      </w:tr>
      <w:tr w14:paraId="3460291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371" w:type="dxa"/>
            <w:noWrap/>
          </w:tcPr>
          <w:p w14:paraId="31B10A80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8024" w:type="dxa"/>
            <w:gridSpan w:val="7"/>
            <w:noWrap/>
            <w:vAlign w:val="center"/>
          </w:tcPr>
          <w:p w14:paraId="6FEC9DE6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  <w:r>
              <w:rPr>
                <w:rFonts w:ascii="Times New Roman"/>
                <w:sz w:val="21"/>
                <w:szCs w:val="28"/>
                <w:highlight w:val="none"/>
              </w:rPr>
              <w:t>合计</w:t>
            </w:r>
          </w:p>
        </w:tc>
        <w:tc>
          <w:tcPr>
            <w:tcW w:w="422" w:type="dxa"/>
            <w:noWrap/>
            <w:vAlign w:val="center"/>
          </w:tcPr>
          <w:p w14:paraId="637272BE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sz w:val="21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Times New Roman"/>
                <w:sz w:val="21"/>
                <w:szCs w:val="28"/>
                <w:highlight w:val="none"/>
                <w:lang w:val="en-US" w:eastAsia="zh-CN"/>
              </w:rPr>
              <w:t>124</w:t>
            </w:r>
          </w:p>
        </w:tc>
        <w:tc>
          <w:tcPr>
            <w:tcW w:w="740" w:type="dxa"/>
            <w:noWrap/>
            <w:vAlign w:val="center"/>
          </w:tcPr>
          <w:p w14:paraId="38A8DC55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</w:p>
        </w:tc>
        <w:tc>
          <w:tcPr>
            <w:tcW w:w="554" w:type="dxa"/>
            <w:noWrap/>
            <w:vAlign w:val="center"/>
          </w:tcPr>
          <w:p w14:paraId="411985A4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  <w:highlight w:val="none"/>
              </w:rPr>
            </w:pPr>
          </w:p>
        </w:tc>
        <w:tc>
          <w:tcPr>
            <w:tcW w:w="377" w:type="dxa"/>
            <w:noWrap/>
            <w:vAlign w:val="center"/>
          </w:tcPr>
          <w:p w14:paraId="0B28B97A">
            <w:pPr>
              <w:pStyle w:val="13"/>
              <w:adjustRightInd w:val="0"/>
              <w:spacing w:line="240" w:lineRule="auto"/>
              <w:ind w:firstLine="0" w:firstLineChars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37922CD9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bookmarkStart w:id="0" w:name="_GoBack"/>
      <w:bookmarkEnd w:id="0"/>
    </w:p>
    <w:p w14:paraId="5B27FD80">
      <w:pPr>
        <w:rPr>
          <w:rFonts w:hint="default" w:ascii="Times New Roman" w:hAnsi="Times New Roman" w:eastAsia="宋体" w:cs="Times New Roman"/>
          <w:color w:val="000000" w:themeColor="text1"/>
          <w:sz w:val="28"/>
          <w:szCs w:val="28"/>
        </w:rPr>
      </w:pPr>
      <w:r>
        <w:rPr>
          <w:rFonts w:hint="default" w:ascii="Times New Roman" w:hAnsi="Times New Roman" w:eastAsia="宋体" w:cs="Times New Roman"/>
          <w:color w:val="000000" w:themeColor="text1"/>
          <w:sz w:val="28"/>
          <w:szCs w:val="28"/>
        </w:rPr>
        <w:t>主要完成人员：</w:t>
      </w:r>
    </w:p>
    <w:p w14:paraId="283A3822">
      <w:pPr>
        <w:rPr>
          <w:rFonts w:hint="default" w:ascii="Times New Roman" w:hAnsi="Times New Roman" w:eastAsia="宋体" w:cs="Times New Roman"/>
          <w:color w:val="000000" w:themeColor="text1"/>
          <w:sz w:val="28"/>
          <w:szCs w:val="28"/>
        </w:rPr>
      </w:pPr>
      <w:r>
        <w:rPr>
          <w:rFonts w:hint="default" w:ascii="Times New Roman" w:hAnsi="Times New Roman" w:eastAsia="宋体" w:cs="Times New Roman"/>
          <w:color w:val="000000"/>
          <w:sz w:val="28"/>
          <w:szCs w:val="28"/>
        </w:rPr>
        <w:t>刘素娟，杨坤，王迪，李楠楠，刘琴，李小伟，王东琳</w:t>
      </w:r>
    </w:p>
    <w:p w14:paraId="5A2B4CD0">
      <w:pPr>
        <w:rPr>
          <w:rFonts w:hint="default" w:ascii="Times New Roman" w:hAnsi="Times New Roman" w:eastAsia="宋体" w:cs="Times New Roman"/>
          <w:color w:val="000000" w:themeColor="text1"/>
          <w:sz w:val="28"/>
          <w:szCs w:val="28"/>
        </w:rPr>
      </w:pPr>
      <w:r>
        <w:rPr>
          <w:rFonts w:hint="default" w:ascii="Times New Roman" w:hAnsi="Times New Roman" w:eastAsia="宋体" w:cs="Times New Roman"/>
          <w:color w:val="000000" w:themeColor="text1"/>
          <w:sz w:val="28"/>
          <w:szCs w:val="28"/>
        </w:rPr>
        <w:t>主要完成单位：</w:t>
      </w:r>
    </w:p>
    <w:p w14:paraId="4F226815">
      <w:pPr>
        <w:rPr>
          <w:rFonts w:hint="default" w:ascii="Times New Roman" w:hAnsi="Times New Roman" w:eastAsia="宋体" w:cs="Times New Roman"/>
          <w:sz w:val="28"/>
          <w:szCs w:val="28"/>
        </w:rPr>
      </w:pPr>
      <w:r>
        <w:rPr>
          <w:rFonts w:hint="default" w:ascii="Times New Roman" w:hAnsi="Times New Roman" w:eastAsia="宋体" w:cs="Times New Roman"/>
          <w:sz w:val="28"/>
          <w:szCs w:val="28"/>
        </w:rPr>
        <w:t>郑州轻工业大学、北京航空航天大学、</w:t>
      </w:r>
      <w:r>
        <w:rPr>
          <w:rFonts w:hint="default" w:ascii="Times New Roman" w:hAnsi="Times New Roman" w:eastAsia="宋体" w:cs="Times New Roman"/>
          <w:color w:val="000000"/>
          <w:sz w:val="28"/>
          <w:szCs w:val="28"/>
        </w:rPr>
        <w:t>河南百合特种光学研究院有限公司、四川大学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2"/>
  <w:bordersDoNotSurroundHeader w:val="1"/>
  <w:bordersDoNotSurroundFooter w:val="1"/>
  <w:documentProtection w:enforcement="0"/>
  <w:defaultTabStop w:val="420"/>
  <w:characterSpacingControl w:val="doNotCompress"/>
  <w:compat>
    <w:useFELayout/>
    <w:compatSetting w:name="compatibilityMode" w:uri="http://schemas.microsoft.com/office/word" w:val="12"/>
  </w:compat>
  <w:rsids>
    <w:rsidRoot w:val="00E96063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0EA6D8F"/>
    <w:rsid w:val="156B36C3"/>
    <w:rsid w:val="1C6D1604"/>
    <w:rsid w:val="4A084BAC"/>
    <w:rsid w:val="572F24EA"/>
    <w:rsid w:val="57684EDC"/>
    <w:rsid w:val="580A4D2E"/>
    <w:rsid w:val="62A72D5C"/>
    <w:rsid w:val="71EB526C"/>
    <w:rsid w:val="77DE0B76"/>
    <w:rsid w:val="7F2F1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qFormat="1" w:uiPriority="99" w:semiHidden="0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4">
    <w:name w:val="heading 1"/>
    <w:basedOn w:val="1"/>
    <w:next w:val="1"/>
    <w:link w:val="20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5">
    <w:name w:val="heading 2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6">
    <w:name w:val="heading 3"/>
    <w:basedOn w:val="1"/>
    <w:next w:val="1"/>
    <w:link w:val="22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7">
    <w:name w:val="heading 4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8">
    <w:name w:val="heading 5"/>
    <w:basedOn w:val="1"/>
    <w:next w:val="1"/>
    <w:link w:val="24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9">
    <w:name w:val="heading 6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10">
    <w:name w:val="heading 7"/>
    <w:basedOn w:val="1"/>
    <w:next w:val="1"/>
    <w:link w:val="26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11">
    <w:name w:val="heading 8"/>
    <w:basedOn w:val="1"/>
    <w:next w:val="1"/>
    <w:link w:val="27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2">
    <w:name w:val="heading 9"/>
    <w:basedOn w:val="1"/>
    <w:next w:val="1"/>
    <w:link w:val="28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99"/>
    <w:pPr>
      <w:spacing w:after="120"/>
    </w:pPr>
    <w:rPr>
      <w:kern w:val="0"/>
      <w:sz w:val="24"/>
      <w:szCs w:val="20"/>
    </w:rPr>
  </w:style>
  <w:style w:type="paragraph" w:styleId="3">
    <w:name w:val="Body Text 2"/>
    <w:basedOn w:val="1"/>
    <w:next w:val="2"/>
    <w:unhideWhenUsed/>
    <w:qFormat/>
    <w:uiPriority w:val="99"/>
    <w:pPr>
      <w:adjustRightInd w:val="0"/>
      <w:spacing w:line="360" w:lineRule="auto"/>
      <w:textAlignment w:val="baseline"/>
    </w:pPr>
    <w:rPr>
      <w:rFonts w:ascii="楷体_GB2312" w:eastAsia="楷体_GB2312"/>
      <w:kern w:val="44"/>
      <w:sz w:val="28"/>
      <w:szCs w:val="20"/>
    </w:rPr>
  </w:style>
  <w:style w:type="paragraph" w:styleId="13">
    <w:name w:val="Plain Text"/>
    <w:basedOn w:val="1"/>
    <w:qFormat/>
    <w:uiPriority w:val="99"/>
    <w:pPr>
      <w:spacing w:line="360" w:lineRule="auto"/>
      <w:ind w:firstLine="480" w:firstLineChars="200"/>
    </w:pPr>
    <w:rPr>
      <w:rFonts w:ascii="仿宋_GB2312"/>
      <w:sz w:val="24"/>
      <w:szCs w:val="20"/>
    </w:rPr>
  </w:style>
  <w:style w:type="paragraph" w:styleId="14">
    <w:name w:val="footer"/>
    <w:basedOn w:val="1"/>
    <w:link w:val="3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5">
    <w:name w:val="head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Subtitle"/>
    <w:basedOn w:val="1"/>
    <w:next w:val="1"/>
    <w:link w:val="30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7">
    <w:name w:val="Title"/>
    <w:basedOn w:val="1"/>
    <w:next w:val="1"/>
    <w:link w:val="29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0">
    <w:name w:val="标题 1 字符"/>
    <w:basedOn w:val="19"/>
    <w:link w:val="4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21">
    <w:name w:val="标题 2 字符"/>
    <w:basedOn w:val="19"/>
    <w:link w:val="5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2">
    <w:name w:val="标题 3 字符"/>
    <w:basedOn w:val="19"/>
    <w:link w:val="6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3">
    <w:name w:val="标题 4 字符"/>
    <w:basedOn w:val="19"/>
    <w:link w:val="7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4">
    <w:name w:val="标题 5 字符"/>
    <w:basedOn w:val="19"/>
    <w:link w:val="8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5">
    <w:name w:val="标题 6 字符"/>
    <w:basedOn w:val="19"/>
    <w:link w:val="9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6">
    <w:name w:val="标题 7 字符"/>
    <w:basedOn w:val="19"/>
    <w:link w:val="10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7">
    <w:name w:val="标题 8 字符"/>
    <w:basedOn w:val="19"/>
    <w:link w:val="11"/>
    <w:semiHidden/>
    <w:qFormat/>
    <w:uiPriority w:val="9"/>
    <w:rPr>
      <w:rFonts w:cstheme="majorBidi"/>
      <w:color w:val="585858" w:themeColor="text1" w:themeTint="A6"/>
    </w:rPr>
  </w:style>
  <w:style w:type="character" w:customStyle="1" w:styleId="28">
    <w:name w:val="标题 9 字符"/>
    <w:basedOn w:val="19"/>
    <w:link w:val="12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9">
    <w:name w:val="标题 字符"/>
    <w:basedOn w:val="19"/>
    <w:link w:val="17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30">
    <w:name w:val="副标题 字符"/>
    <w:basedOn w:val="19"/>
    <w:link w:val="16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31">
    <w:name w:val="Quote"/>
    <w:basedOn w:val="1"/>
    <w:next w:val="1"/>
    <w:link w:val="32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2">
    <w:name w:val="引用 字符"/>
    <w:basedOn w:val="19"/>
    <w:link w:val="31"/>
    <w:qFormat/>
    <w:uiPriority w:val="29"/>
    <w:rPr>
      <w:i/>
      <w:iCs/>
      <w:color w:val="3F3F3F" w:themeColor="text1" w:themeTint="BF"/>
    </w:rPr>
  </w:style>
  <w:style w:type="paragraph" w:styleId="33">
    <w:name w:val="List Paragraph"/>
    <w:basedOn w:val="1"/>
    <w:qFormat/>
    <w:uiPriority w:val="34"/>
    <w:pPr>
      <w:ind w:left="720"/>
      <w:contextualSpacing/>
    </w:pPr>
  </w:style>
  <w:style w:type="character" w:customStyle="1" w:styleId="34">
    <w:name w:val="Intense Emphasis"/>
    <w:basedOn w:val="19"/>
    <w:qFormat/>
    <w:uiPriority w:val="21"/>
    <w:rPr>
      <w:i/>
      <w:iCs/>
      <w:color w:val="0F4761" w:themeColor="accent1" w:themeShade="BF"/>
    </w:rPr>
  </w:style>
  <w:style w:type="paragraph" w:styleId="35">
    <w:name w:val="Intense Quote"/>
    <w:basedOn w:val="1"/>
    <w:next w:val="1"/>
    <w:link w:val="36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6">
    <w:name w:val="明显引用 字符"/>
    <w:basedOn w:val="19"/>
    <w:link w:val="35"/>
    <w:qFormat/>
    <w:uiPriority w:val="30"/>
    <w:rPr>
      <w:i/>
      <w:iCs/>
      <w:color w:val="0F4761" w:themeColor="accent1" w:themeShade="BF"/>
    </w:rPr>
  </w:style>
  <w:style w:type="character" w:customStyle="1" w:styleId="37">
    <w:name w:val="Intense Reference"/>
    <w:basedOn w:val="19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8">
    <w:name w:val="页眉 字符"/>
    <w:basedOn w:val="19"/>
    <w:link w:val="15"/>
    <w:qFormat/>
    <w:uiPriority w:val="99"/>
    <w:rPr>
      <w:sz w:val="18"/>
      <w:szCs w:val="18"/>
    </w:rPr>
  </w:style>
  <w:style w:type="character" w:customStyle="1" w:styleId="39">
    <w:name w:val="页脚 字符"/>
    <w:basedOn w:val="19"/>
    <w:link w:val="1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1690</Words>
  <Characters>3753</Characters>
  <Lines>1</Lines>
  <Paragraphs>1</Paragraphs>
  <TotalTime>0</TotalTime>
  <ScaleCrop>false</ScaleCrop>
  <LinksUpToDate>false</LinksUpToDate>
  <CharactersWithSpaces>4071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刘素娟</cp:lastModifiedBy>
  <dcterms:modified xsi:type="dcterms:W3CDTF">2026-05-05T11:45:02Z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eyJoZGlkIjoiMWZkNDE1NjUzYmFjYmJiODZlNTJkNzZjZjE5YjYxNjAiLCJ1c2VySWQiOiIxMTIxNzQyMzQ3In0=</vt:lpwstr>
  </property>
  <property fmtid="{D5CDD505-2E9C-101B-9397-08002B2CF9AE}" pid="3" name="KSOProductBuildVer">
    <vt:lpwstr>2052-12.1.0.25865</vt:lpwstr>
  </property>
  <property fmtid="{D5CDD505-2E9C-101B-9397-08002B2CF9AE}" pid="4" name="ICV">
    <vt:lpwstr>F76F1815904542139C936EC2DF6B0083_12</vt:lpwstr>
  </property>
</Properties>
</file>