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项目名称：面向康复治疗的高效安全氢氧气体制备关键技术及产业化应用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提名者：河南省教育厅</w:t>
      </w:r>
    </w:p>
    <w:p w14:paraId="56D73DBC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三等奖</w:t>
      </w:r>
      <w:bookmarkStart w:id="0" w:name="_GoBack"/>
      <w:bookmarkEnd w:id="0"/>
    </w:p>
    <w:p w14:paraId="4B8AFE94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要知识产权和标准规范目录</w:t>
      </w:r>
    </w:p>
    <w:tbl>
      <w:tblPr>
        <w:tblStyle w:val="16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8"/>
        <w:gridCol w:w="1260"/>
        <w:gridCol w:w="1022"/>
        <w:gridCol w:w="849"/>
        <w:gridCol w:w="992"/>
        <w:gridCol w:w="1134"/>
        <w:gridCol w:w="850"/>
        <w:gridCol w:w="851"/>
        <w:gridCol w:w="965"/>
      </w:tblGrid>
      <w:tr w14:paraId="4DA39D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088" w:type="dxa"/>
            <w:noWrap/>
            <w:vAlign w:val="center"/>
          </w:tcPr>
          <w:p w14:paraId="0C7596B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140FA367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知识产权（标准）具体名称</w:t>
            </w:r>
          </w:p>
        </w:tc>
        <w:tc>
          <w:tcPr>
            <w:tcW w:w="1022" w:type="dxa"/>
            <w:noWrap/>
            <w:vAlign w:val="center"/>
          </w:tcPr>
          <w:p w14:paraId="5C9365C0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国家</w:t>
            </w:r>
          </w:p>
          <w:p w14:paraId="11BDC4CE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（地区）</w:t>
            </w:r>
          </w:p>
        </w:tc>
        <w:tc>
          <w:tcPr>
            <w:tcW w:w="849" w:type="dxa"/>
            <w:noWrap/>
            <w:vAlign w:val="center"/>
          </w:tcPr>
          <w:p w14:paraId="1C78351B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51AF08ED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1249B527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证书编号</w:t>
            </w:r>
          </w:p>
          <w:p w14:paraId="6C8D8246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08F56752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权利人（标准起草单位）</w:t>
            </w:r>
          </w:p>
        </w:tc>
        <w:tc>
          <w:tcPr>
            <w:tcW w:w="851" w:type="dxa"/>
            <w:noWrap/>
            <w:vAlign w:val="center"/>
          </w:tcPr>
          <w:p w14:paraId="09A0E69F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发明人（标准起草人）</w:t>
            </w:r>
          </w:p>
        </w:tc>
        <w:tc>
          <w:tcPr>
            <w:tcW w:w="965" w:type="dxa"/>
            <w:noWrap/>
            <w:vAlign w:val="center"/>
          </w:tcPr>
          <w:p w14:paraId="64C3DB95">
            <w:pPr>
              <w:pStyle w:val="11"/>
              <w:spacing w:line="390" w:lineRule="exact"/>
              <w:ind w:firstLine="0" w:firstLineChars="0"/>
              <w:jc w:val="center"/>
              <w:rPr>
                <w:rFonts w:ascii="Times New Roman"/>
                <w:color w:val="auto"/>
                <w:sz w:val="21"/>
              </w:rPr>
            </w:pPr>
            <w:r>
              <w:rPr>
                <w:rFonts w:ascii="Times New Roman"/>
                <w:color w:val="auto"/>
                <w:sz w:val="21"/>
              </w:rPr>
              <w:t>专利（标准）有效状态</w:t>
            </w:r>
          </w:p>
        </w:tc>
      </w:tr>
      <w:tr w14:paraId="785A3A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5404097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2BC4BDA0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一种多部位速率远程可控的注汽阀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625053BD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0903891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ZL202410754550.6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606EEE3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2025-11-07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061536D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第8447483号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7009740D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7A7F1581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张德海、周盛茂、李艳芹、张段芹、任菲、刘晓丽、王胜永、郭东杰、王涛、许宸语、马选雄、浮绍椿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5CF49BE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7DA2127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7789F89B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09881800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一种纯水电解制氢装置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2AEBCC0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3C60C97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ZL202210833363.8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37492C0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2024-12-27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00934DF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第7628287号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69B5431B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郑州名泰医疗器械有限公司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3442C46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赵维利</w:t>
            </w:r>
            <w:r>
              <w:rPr>
                <w:rFonts w:hint="eastAsia" w:ascii="Times New Roman"/>
                <w:color w:val="000000"/>
                <w:highlight w:val="none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  <w:highlight w:val="none"/>
              </w:rPr>
              <w:t>李静霞</w:t>
            </w:r>
            <w:r>
              <w:rPr>
                <w:rFonts w:hint="eastAsia" w:ascii="Times New Roman"/>
                <w:color w:val="000000"/>
                <w:highlight w:val="none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  <w:highlight w:val="none"/>
              </w:rPr>
              <w:t>徐志立</w:t>
            </w:r>
            <w:r>
              <w:rPr>
                <w:rFonts w:hint="eastAsia" w:ascii="Times New Roman"/>
                <w:color w:val="000000"/>
                <w:highlight w:val="none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  <w:highlight w:val="none"/>
              </w:rPr>
              <w:t>李志伟</w:t>
            </w:r>
            <w:r>
              <w:rPr>
                <w:rFonts w:hint="eastAsia" w:ascii="Times New Roman"/>
                <w:color w:val="000000"/>
                <w:highlight w:val="none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  <w:highlight w:val="none"/>
              </w:rPr>
              <w:t>简子童</w:t>
            </w:r>
            <w:r>
              <w:rPr>
                <w:rFonts w:hint="eastAsia" w:ascii="Times New Roman"/>
                <w:color w:val="000000"/>
                <w:highlight w:val="none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  <w:highlight w:val="none"/>
              </w:rPr>
              <w:t>李新学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4E228980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yellow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有效</w:t>
            </w:r>
          </w:p>
        </w:tc>
      </w:tr>
      <w:tr w14:paraId="5AB6D93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0D2E4DEE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590943A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一种视觉成像反馈的压电驱动自调整并行测试装置和方法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0D34242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4AE15559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ZL202010503815.7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495851F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2021-10-22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1195B5F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第4749505 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24A81FE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4B7DF6DB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曹宁、沈斐玲、何文斌、费致根、都金光、段留洋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200887BD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highlight w:val="yellow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  <w:highlight w:val="none"/>
              </w:rPr>
              <w:t>有效</w:t>
            </w:r>
          </w:p>
        </w:tc>
      </w:tr>
      <w:tr w14:paraId="3401A41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59847189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67782F5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一种制氧机工作异常报警方法以及报警系统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400C3C5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2CD7EDD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ZL202011375767.4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7CED836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2024-12-20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337AD7E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第7618089号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6774596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郑州名泰医疗器械有限公司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727C602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赵维利、李静霞、徐志立、王国芳、张广记、黄永超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2CC2293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24BFDC6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736041F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4CB2B31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一种用于伞齿轮齿面精度的光学同轴多环检测法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12F0E36D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01370DB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ZL202210555970.2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555FB45C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2025-11-07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7CA0F1BC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第8447483号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2DB5436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718DB91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张德海、李军恒、李艳芹、白代萍、王胜永、祝志逢、黄子帆、付亮、洪登梁、谷远东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47C7D7C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37D093E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2C5DF6C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2C2F1AC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一种易于装卸维护的新型管束式集装箱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31CC845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09E28CB1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ZL202111268494.8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08DD8FA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2023-03-14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4E0F616D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第5770568 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7A13612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59721EC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丁昌、白鹏飞、孙浩、田二林、张德海、吴学红、董大山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55363E92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2DF6EF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1A031533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0F7B81E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一种多方位压电驱动仿生机械星鼻柔性检测系统及其控制方法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61EBE7A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337D15B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ZL202211020962.4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0EFE402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2025-04-18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740D568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第7884241号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549E33D1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5191DF2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曹宁、沈斐玲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15A0555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4809B53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</w:tcPr>
          <w:p w14:paraId="29A255C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noWrap/>
          </w:tcPr>
          <w:p w14:paraId="53FCB630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雾化施釉装置及施釉方法</w:t>
            </w:r>
          </w:p>
        </w:tc>
        <w:tc>
          <w:tcPr>
            <w:tcW w:w="1022" w:type="dxa"/>
            <w:noWrap/>
          </w:tcPr>
          <w:p w14:paraId="15DAE4D9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noWrap/>
          </w:tcPr>
          <w:p w14:paraId="7F816CD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ZL201810271001.8</w:t>
            </w:r>
          </w:p>
        </w:tc>
        <w:tc>
          <w:tcPr>
            <w:tcW w:w="992" w:type="dxa"/>
            <w:noWrap/>
          </w:tcPr>
          <w:p w14:paraId="11D21D7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 xml:space="preserve">2023 </w:t>
            </w:r>
            <w:r>
              <w:rPr>
                <w:rFonts w:hint="eastAsia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-</w:t>
            </w: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 xml:space="preserve">07 </w:t>
            </w:r>
            <w:r>
              <w:rPr>
                <w:rFonts w:hint="eastAsia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-</w:t>
            </w: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 xml:space="preserve">18 </w:t>
            </w:r>
          </w:p>
        </w:tc>
        <w:tc>
          <w:tcPr>
            <w:tcW w:w="1134" w:type="dxa"/>
            <w:noWrap/>
          </w:tcPr>
          <w:p w14:paraId="1ADCCAC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第6151361号</w:t>
            </w:r>
          </w:p>
        </w:tc>
        <w:tc>
          <w:tcPr>
            <w:tcW w:w="850" w:type="dxa"/>
            <w:noWrap/>
          </w:tcPr>
          <w:p w14:paraId="3A749757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auto"/>
                <w:lang w:val="en-US" w:eastAsia="zh-CN"/>
              </w:rPr>
            </w:pPr>
            <w:r>
              <w:rPr>
                <w:rFonts w:hint="eastAsia" w:ascii="Times New Roman"/>
                <w:color w:val="auto"/>
                <w:lang w:val="en-US" w:eastAsia="zh-CN"/>
              </w:rPr>
              <w:t>郑州科技学院</w:t>
            </w:r>
          </w:p>
        </w:tc>
        <w:tc>
          <w:tcPr>
            <w:tcW w:w="851" w:type="dxa"/>
            <w:noWrap/>
          </w:tcPr>
          <w:p w14:paraId="4C98EAC1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黄子帆、李俊美、李欧阳、杜孟飞、黄方明</w:t>
            </w:r>
          </w:p>
        </w:tc>
        <w:tc>
          <w:tcPr>
            <w:tcW w:w="965" w:type="dxa"/>
            <w:noWrap/>
          </w:tcPr>
          <w:p w14:paraId="67D923D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</w:p>
        </w:tc>
      </w:tr>
      <w:tr w14:paraId="7D7FBB8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1088" w:type="dxa"/>
            <w:noWrap/>
          </w:tcPr>
          <w:p w14:paraId="3DF73E0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000000"/>
              </w:rPr>
              <w:t>发明专利</w:t>
            </w:r>
          </w:p>
        </w:tc>
        <w:tc>
          <w:tcPr>
            <w:tcW w:w="1260" w:type="dxa"/>
            <w:noWrap/>
          </w:tcPr>
          <w:p w14:paraId="6059076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hAnsi="宋体" w:eastAsia="仿宋_GB2312" w:cs="仿宋_GB2312"/>
                <w:color w:val="00000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bidi="ar"/>
              </w:rPr>
              <w:t>D 打印用转轮式多色挤出系统及配套的多色 3D 打印方法</w:t>
            </w:r>
          </w:p>
        </w:tc>
        <w:tc>
          <w:tcPr>
            <w:tcW w:w="1022" w:type="dxa"/>
            <w:noWrap/>
          </w:tcPr>
          <w:p w14:paraId="3D58A08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noWrap/>
          </w:tcPr>
          <w:p w14:paraId="01163FF4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bidi="ar"/>
              </w:rPr>
              <w:t>ZL201710313343.7</w:t>
            </w:r>
          </w:p>
        </w:tc>
        <w:tc>
          <w:tcPr>
            <w:tcW w:w="992" w:type="dxa"/>
            <w:noWrap/>
          </w:tcPr>
          <w:p w14:paraId="4637EA14">
            <w:pPr>
              <w:pStyle w:val="11"/>
              <w:spacing w:line="390" w:lineRule="exact"/>
              <w:ind w:firstLine="0" w:firstLineChars="0"/>
              <w:jc w:val="left"/>
              <w:rPr>
                <w:rFonts w:hint="default" w:ascii="Times New Roman" w:eastAsia="宋体"/>
                <w:color w:val="auto"/>
                <w:lang w:val="en-US" w:eastAsia="zh-CN"/>
              </w:rPr>
            </w:pPr>
            <w:r>
              <w:rPr>
                <w:rFonts w:hint="eastAsia" w:ascii="Times New Roman"/>
                <w:color w:val="auto"/>
                <w:lang w:val="en-US" w:eastAsia="zh-CN"/>
              </w:rPr>
              <w:t>2023-08-08</w:t>
            </w:r>
          </w:p>
        </w:tc>
        <w:tc>
          <w:tcPr>
            <w:tcW w:w="1134" w:type="dxa"/>
            <w:noWrap/>
          </w:tcPr>
          <w:p w14:paraId="653F6478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bidi="ar"/>
              </w:rPr>
              <w:t>第 6212669 号</w:t>
            </w:r>
          </w:p>
        </w:tc>
        <w:tc>
          <w:tcPr>
            <w:tcW w:w="850" w:type="dxa"/>
            <w:noWrap/>
          </w:tcPr>
          <w:p w14:paraId="54E562A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auto"/>
                <w:lang w:val="en-US" w:eastAsia="zh-CN"/>
              </w:rPr>
              <w:t>郑州科技学院</w:t>
            </w:r>
          </w:p>
        </w:tc>
        <w:tc>
          <w:tcPr>
            <w:tcW w:w="851" w:type="dxa"/>
            <w:noWrap/>
          </w:tcPr>
          <w:p w14:paraId="1AD354B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color w:val="000000"/>
                <w:sz w:val="28"/>
                <w:szCs w:val="28"/>
                <w:lang w:bidi="ar"/>
              </w:rPr>
              <w:t>黄子帆、李俊美</w:t>
            </w:r>
            <w:r>
              <w:rPr>
                <w:rFonts w:hint="eastAsia" w:ascii="仿宋_GB2312" w:hAnsi="宋体" w:eastAsia="仿宋_GB2312" w:cs="仿宋_GB2312"/>
                <w:color w:val="000000"/>
                <w:sz w:val="28"/>
                <w:szCs w:val="28"/>
                <w:lang w:bidi="ar"/>
              </w:rPr>
              <w:t>、李欧阳、赵显涛、杜孟飞、黄方明</w:t>
            </w:r>
          </w:p>
        </w:tc>
        <w:tc>
          <w:tcPr>
            <w:tcW w:w="965" w:type="dxa"/>
            <w:noWrap/>
          </w:tcPr>
          <w:p w14:paraId="0AEC14FA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/>
                <w:color w:val="auto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  <w:tr w14:paraId="40E7E46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088" w:type="dxa"/>
            <w:shd w:val="clear" w:color="auto" w:fill="auto"/>
            <w:noWrap/>
            <w:vAlign w:val="top"/>
          </w:tcPr>
          <w:p w14:paraId="5B66F93F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软件著作</w:t>
            </w:r>
          </w:p>
        </w:tc>
        <w:tc>
          <w:tcPr>
            <w:tcW w:w="1260" w:type="dxa"/>
            <w:shd w:val="clear" w:color="auto" w:fill="auto"/>
            <w:noWrap/>
            <w:vAlign w:val="top"/>
          </w:tcPr>
          <w:p w14:paraId="0E3E74A2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数据安全处理系统V1.0</w:t>
            </w:r>
          </w:p>
        </w:tc>
        <w:tc>
          <w:tcPr>
            <w:tcW w:w="1022" w:type="dxa"/>
            <w:shd w:val="clear" w:color="auto" w:fill="auto"/>
            <w:noWrap/>
            <w:vAlign w:val="top"/>
          </w:tcPr>
          <w:p w14:paraId="5419C62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  <w:vAlign w:val="top"/>
          </w:tcPr>
          <w:p w14:paraId="34C822C6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2022SR1080117</w:t>
            </w:r>
          </w:p>
        </w:tc>
        <w:tc>
          <w:tcPr>
            <w:tcW w:w="992" w:type="dxa"/>
            <w:shd w:val="clear" w:color="auto" w:fill="auto"/>
            <w:noWrap/>
            <w:vAlign w:val="top"/>
          </w:tcPr>
          <w:p w14:paraId="44D68EB2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2022-04-08</w:t>
            </w:r>
          </w:p>
        </w:tc>
        <w:tc>
          <w:tcPr>
            <w:tcW w:w="1134" w:type="dxa"/>
            <w:shd w:val="clear" w:color="auto" w:fill="auto"/>
            <w:noWrap/>
            <w:vAlign w:val="top"/>
          </w:tcPr>
          <w:p w14:paraId="16EAE445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第10034316号</w:t>
            </w:r>
          </w:p>
        </w:tc>
        <w:tc>
          <w:tcPr>
            <w:tcW w:w="850" w:type="dxa"/>
            <w:shd w:val="clear" w:color="auto" w:fill="auto"/>
            <w:noWrap/>
            <w:vAlign w:val="top"/>
          </w:tcPr>
          <w:p w14:paraId="635EE4B7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郑州轻工业大学</w:t>
            </w:r>
          </w:p>
        </w:tc>
        <w:tc>
          <w:tcPr>
            <w:tcW w:w="851" w:type="dxa"/>
            <w:shd w:val="clear" w:color="auto" w:fill="auto"/>
            <w:noWrap/>
            <w:vAlign w:val="top"/>
          </w:tcPr>
          <w:p w14:paraId="7BB06103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张德海</w:t>
            </w:r>
            <w:r>
              <w:rPr>
                <w:rFonts w:hint="eastAsia" w:ascii="Times New Roman"/>
                <w:color w:val="000000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</w:rPr>
              <w:t>曹宁</w:t>
            </w:r>
            <w:r>
              <w:rPr>
                <w:rFonts w:hint="eastAsia" w:ascii="Times New Roman"/>
                <w:color w:val="000000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</w:rPr>
              <w:t>丁昌</w:t>
            </w:r>
            <w:r>
              <w:rPr>
                <w:rFonts w:hint="eastAsia" w:ascii="Times New Roman"/>
                <w:color w:val="000000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</w:rPr>
              <w:t>任菲</w:t>
            </w:r>
            <w:r>
              <w:rPr>
                <w:rFonts w:hint="eastAsia" w:ascii="Times New Roman"/>
                <w:color w:val="000000"/>
                <w:lang w:eastAsia="zh-CN"/>
              </w:rPr>
              <w:t>、</w:t>
            </w:r>
            <w:r>
              <w:rPr>
                <w:rFonts w:hint="eastAsia" w:ascii="Times New Roman"/>
                <w:color w:val="000000"/>
              </w:rPr>
              <w:t>陈俊杰</w:t>
            </w:r>
            <w:r>
              <w:rPr>
                <w:rFonts w:hint="eastAsia" w:ascii="Times New Roman"/>
                <w:color w:val="000000"/>
                <w:lang w:eastAsia="zh-CN"/>
              </w:rPr>
              <w:t>、</w:t>
            </w:r>
          </w:p>
        </w:tc>
        <w:tc>
          <w:tcPr>
            <w:tcW w:w="965" w:type="dxa"/>
            <w:shd w:val="clear" w:color="auto" w:fill="auto"/>
            <w:noWrap/>
            <w:vAlign w:val="top"/>
          </w:tcPr>
          <w:p w14:paraId="088F302E">
            <w:pPr>
              <w:pStyle w:val="11"/>
              <w:spacing w:line="390" w:lineRule="exact"/>
              <w:ind w:firstLine="0" w:firstLineChars="0"/>
              <w:jc w:val="left"/>
              <w:rPr>
                <w:rFonts w:ascii="Times New Roman" w:hAnsi="Times New Roman" w:eastAsia="宋体" w:cs="Times New Roman"/>
                <w:kern w:val="2"/>
                <w:sz w:val="24"/>
                <w:szCs w:val="20"/>
                <w:lang w:val="en-US" w:eastAsia="zh-CN" w:bidi="ar-SA"/>
              </w:rPr>
            </w:pPr>
            <w:r>
              <w:rPr>
                <w:rFonts w:hint="eastAsia" w:ascii="Times New Roman"/>
                <w:color w:val="000000"/>
              </w:rPr>
              <w:t>有效</w:t>
            </w:r>
          </w:p>
        </w:tc>
      </w:tr>
    </w:tbl>
    <w:p w14:paraId="0DB42956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2E77B0EC">
      <w:pPr>
        <w:jc w:val="center"/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694"/>
        <w:gridCol w:w="773"/>
        <w:gridCol w:w="760"/>
        <w:gridCol w:w="827"/>
        <w:gridCol w:w="645"/>
      </w:tblGrid>
      <w:tr w14:paraId="7C78A07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528" w:type="dxa"/>
            <w:tcBorders>
              <w:top w:val="single" w:color="auto" w:sz="8" w:space="0"/>
            </w:tcBorders>
            <w:noWrap/>
            <w:vAlign w:val="center"/>
          </w:tcPr>
          <w:p w14:paraId="4024F5C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color="auto" w:sz="8" w:space="0"/>
            </w:tcBorders>
            <w:noWrap/>
            <w:vAlign w:val="center"/>
          </w:tcPr>
          <w:p w14:paraId="63555A2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论文专著名称/</w:t>
            </w:r>
          </w:p>
          <w:p w14:paraId="2C98079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刊名/ 作者</w:t>
            </w:r>
          </w:p>
        </w:tc>
        <w:tc>
          <w:tcPr>
            <w:tcW w:w="1534" w:type="dxa"/>
            <w:tcBorders>
              <w:top w:val="single" w:color="auto" w:sz="8" w:space="0"/>
            </w:tcBorders>
            <w:noWrap/>
            <w:vAlign w:val="center"/>
          </w:tcPr>
          <w:p w14:paraId="6BCEA9A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年卷页码</w:t>
            </w:r>
          </w:p>
          <w:p w14:paraId="5D45293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（xx年xx卷xx页）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2FBD53A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7901206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4B1EFC6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239A8D9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第一署名单位</w:t>
            </w:r>
          </w:p>
        </w:tc>
        <w:tc>
          <w:tcPr>
            <w:tcW w:w="694" w:type="dxa"/>
            <w:tcBorders>
              <w:top w:val="single" w:color="auto" w:sz="8" w:space="0"/>
            </w:tcBorders>
            <w:noWrap/>
            <w:vAlign w:val="center"/>
          </w:tcPr>
          <w:p w14:paraId="29F843E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国内作者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426FBFD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他引总次数</w:t>
            </w:r>
          </w:p>
        </w:tc>
        <w:tc>
          <w:tcPr>
            <w:tcW w:w="760" w:type="dxa"/>
            <w:tcBorders>
              <w:top w:val="single" w:color="auto" w:sz="8" w:space="0"/>
            </w:tcBorders>
            <w:noWrap/>
            <w:vAlign w:val="center"/>
          </w:tcPr>
          <w:p w14:paraId="4C3CC7B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检索数据库</w:t>
            </w:r>
          </w:p>
        </w:tc>
        <w:tc>
          <w:tcPr>
            <w:tcW w:w="827" w:type="dxa"/>
            <w:tcBorders>
              <w:top w:val="single" w:color="auto" w:sz="8" w:space="0"/>
            </w:tcBorders>
            <w:noWrap/>
            <w:vAlign w:val="center"/>
          </w:tcPr>
          <w:p w14:paraId="22F2E11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中科院JCR</w:t>
            </w:r>
          </w:p>
          <w:p w14:paraId="5097C5A1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color="auto" w:sz="8" w:space="0"/>
            </w:tcBorders>
            <w:noWrap/>
            <w:vAlign w:val="center"/>
          </w:tcPr>
          <w:p w14:paraId="545201E9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核心</w:t>
            </w:r>
          </w:p>
          <w:p w14:paraId="17A0404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color w:val="auto"/>
                <w:sz w:val="21"/>
                <w:szCs w:val="28"/>
              </w:rPr>
            </w:pPr>
            <w:r>
              <w:rPr>
                <w:rFonts w:ascii="Times New Roman"/>
                <w:b/>
                <w:color w:val="auto"/>
                <w:sz w:val="21"/>
                <w:szCs w:val="28"/>
              </w:rPr>
              <w:t>期刊</w:t>
            </w:r>
          </w:p>
        </w:tc>
      </w:tr>
      <w:tr w14:paraId="57E3A1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528" w:type="dxa"/>
            <w:noWrap/>
            <w:vAlign w:val="center"/>
          </w:tcPr>
          <w:p w14:paraId="03EB32B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1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01C3F2E8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Cation escape from hexagonal close-packed lattice for modelling IPMC actuation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/Sensors and Actuators: A Physical/Dehai Zhang,Chenyu Xu, Zhiqiang Zhang, Lehui Wang, Jingxin Zhou; Yihao Li, Dongjie Guo.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5CF2764C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2025,383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(</w:t>
            </w:r>
            <w:r>
              <w:rPr>
                <w:rFonts w:hint="eastAsia" w:ascii="Times New Roman"/>
                <w:sz w:val="21"/>
                <w:szCs w:val="28"/>
              </w:rPr>
              <w:t>116238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):1-11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34E728B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2025-01-14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45BD9C1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Dongje Guo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578C74E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669064E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445A606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Zhang,Chenyu Xu, Zhiqiang Zhang, Lehui Wang, Jingxin Zhou; Yihao Li, Dongjie Guo.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46EF190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cs="Times New Roman"/>
                <w:kern w:val="2"/>
                <w:sz w:val="21"/>
                <w:szCs w:val="28"/>
                <w:lang w:val="en-US" w:eastAsia="zh-CN" w:bidi="ar-SA"/>
              </w:rPr>
              <w:t>2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23612A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666FE2FF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25BF0F0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000878A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67738F3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2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6ECAF168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Hydrogen Ion Escape from Water’s Body-Centered Cubic Lattice for Modelling IPMC’Electromechanical Behavior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/Journal of Bionic Engineering/Dehai Zhang,Chenyu Xu, Jingxin Zhou, Zhiqiang Zhang, Zhimin Xu, Yihao Li, Dongjie Guo.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26B9E66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2025,23(1):1-15.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328FF4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2025-12-10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1992537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Dongjie Guo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0D9F1A2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0E21BBD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1486634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Zhang,Chenyu Xu, Jingxin Zhou, Zhiqiang Zhang, Zhimin Xu, Yihao Li, Dongjie Guo.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0E5F56C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cs="Times New Roman"/>
                <w:kern w:val="2"/>
                <w:sz w:val="21"/>
                <w:szCs w:val="28"/>
                <w:lang w:val="en-US" w:eastAsia="zh-CN" w:bidi="ar-SA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0F1912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1A12B25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</w:t>
            </w:r>
          </w:p>
        </w:tc>
        <w:tc>
          <w:tcPr>
            <w:tcW w:w="645" w:type="dxa"/>
            <w:noWrap/>
            <w:vAlign w:val="center"/>
          </w:tcPr>
          <w:p w14:paraId="1B8595C6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否</w:t>
            </w:r>
          </w:p>
        </w:tc>
      </w:tr>
      <w:tr w14:paraId="05D1D42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528" w:type="dxa"/>
            <w:noWrap/>
            <w:vAlign w:val="center"/>
          </w:tcPr>
          <w:p w14:paraId="5441B0B0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3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350A949E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Review on Application of Machine Vision-Based Intelligent Algorithms in Gear Defect Detection/Processes/Dehai Zhang, Shengmao Zhou, Yujuan Zheng, Xiaoguang Xu.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7EB9C618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2025,13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（</w:t>
            </w:r>
            <w:r>
              <w:rPr>
                <w:rFonts w:hint="eastAsia" w:ascii="Times New Roman"/>
                <w:sz w:val="21"/>
                <w:szCs w:val="28"/>
              </w:rPr>
              <w:t>3370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）：</w:t>
            </w:r>
            <w:r>
              <w:rPr>
                <w:rFonts w:hint="eastAsia" w:ascii="Times New Roman"/>
                <w:sz w:val="21"/>
                <w:szCs w:val="28"/>
              </w:rPr>
              <w:t>1-24.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D6E6B9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2025-10-21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40D47D1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；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Xiao guang Xu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5F70B3D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5AC46E48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5B0B31DE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Zhang, Shengmao Zhou, Yujuan Zheng, Xiaoguang Xu.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3E65F38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4BFA27A3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1CDDB66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3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01EF9376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58BE06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3785442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4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555BE973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A coaxial multi-ring detection method for measuring the pitch and thickness accuracy of cylindrical gears/Measurement and Control/Dehai Zhang, Junheng Li, Yanqin Li, Chao Wu, Tao Wang, Zhicheng Zhang, Xin Yin, Hongshuai Hu.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28A14EFB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2024,57(6):736-750.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A5AE81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2024-05-10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72A4C1B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;</w:t>
            </w:r>
            <w:r>
              <w:rPr>
                <w:rFonts w:hint="eastAsia" w:ascii="Times New Roman"/>
                <w:sz w:val="21"/>
                <w:szCs w:val="28"/>
              </w:rPr>
              <w:t>Junheng Li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1486F576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698ED94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70025830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Dehai Zhang, Junheng Li, Yanqin Li, Chao Wu, Tao Wang, Zhicheng Zhang, Xin Yin, Hongshuai Hu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3AF1D7B3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cs="Times New Roman"/>
                <w:kern w:val="2"/>
                <w:sz w:val="21"/>
                <w:szCs w:val="28"/>
                <w:lang w:val="en-US" w:eastAsia="zh-CN" w:bidi="ar-SA"/>
              </w:rPr>
              <w:t>1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0881D40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136855B3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3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004FB40C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0AD27D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528" w:type="dxa"/>
            <w:noWrap/>
            <w:vAlign w:val="center"/>
          </w:tcPr>
          <w:p w14:paraId="6105A92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5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26465B4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High-Noise Grayscale Image Denoising Using an Improved Median Filter for the Adaptive Selection of a Threshold/Applied Sciences/ Ning Cao, Yupu Liu.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1553600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2024,14(635):1-14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27E7B7E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2024-01-11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68E1ED97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Ning Cao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450C85A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Ning Cao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4C4EDCBB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2F7893A7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Ning Cao, Yupu Liu.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3C73B8E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cs="Times New Roman"/>
                <w:kern w:val="2"/>
                <w:sz w:val="21"/>
                <w:szCs w:val="28"/>
                <w:lang w:val="en-US" w:eastAsia="zh-CN" w:bidi="ar-SA"/>
              </w:rPr>
              <w:t>27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2866F94F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5FBCA9A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69A1D3DF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6CADB38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3318F1DD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6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55CE993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Experimental investigation on the thermal and flow performance of a thermodynamically-balanced packed bed humidification system/Applied Thermal Engineering/Junjie Chen, Xiaoxiao Wang, Xuehong Wu, Chang Ding ,Dong Han ,Weifeng He.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5406CC46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2024,236(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121771</w:t>
            </w:r>
            <w:r>
              <w:rPr>
                <w:rFonts w:hint="eastAsia" w:ascii="Times New Roman"/>
                <w:sz w:val="21"/>
                <w:szCs w:val="28"/>
              </w:rPr>
              <w:t>)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:1-9</w:t>
            </w:r>
            <w:r>
              <w:rPr>
                <w:rFonts w:hint="eastAsia" w:ascii="Times New Roman"/>
                <w:sz w:val="21"/>
                <w:szCs w:val="28"/>
              </w:rPr>
              <w:t>.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82533D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2023-10-12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4ADE929C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;</w:t>
            </w:r>
            <w:r>
              <w:rPr>
                <w:rFonts w:hint="eastAsia" w:ascii="Times New Roman"/>
                <w:sz w:val="21"/>
                <w:szCs w:val="28"/>
              </w:rPr>
              <w:t>Xiaoxiao Wang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2C6A9B0A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0EC93DCC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391CBF3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 , Xiaoxiao Wang, Xuehong Wu, Chang Ding ,Dong Han ,Weifeng He..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53A0858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</w:t>
            </w:r>
            <w:r>
              <w:rPr>
                <w:rFonts w:hint="eastAsia" w:ascii="Times New Roman"/>
                <w:sz w:val="21"/>
                <w:szCs w:val="28"/>
              </w:rPr>
              <w:t>0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68BCC24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67081512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78C5C31B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3EC7FD1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528" w:type="dxa"/>
            <w:noWrap/>
            <w:vAlign w:val="center"/>
          </w:tcPr>
          <w:p w14:paraId="1CB176B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7</w:t>
            </w:r>
          </w:p>
        </w:tc>
        <w:tc>
          <w:tcPr>
            <w:tcW w:w="1781" w:type="dxa"/>
            <w:shd w:val="clear" w:color="auto" w:fill="auto"/>
            <w:noWrap/>
            <w:vAlign w:val="center"/>
          </w:tcPr>
          <w:p w14:paraId="70BF2DC4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Using targeted performance criteria to experimentally evaluate a packed bed humidification system with thermodynamic balancing measures/International Communications in Heat and Mass Transfer/Junjie Chen, Jiahao Qin，Xiaoxiao Wang，Fangfang Zhang，Xuehong Wu，Sheng Mao，Dong Han，Weifeng He.</w:t>
            </w:r>
          </w:p>
        </w:tc>
        <w:tc>
          <w:tcPr>
            <w:tcW w:w="1534" w:type="dxa"/>
            <w:shd w:val="clear" w:color="auto" w:fill="auto"/>
            <w:noWrap/>
            <w:vAlign w:val="center"/>
          </w:tcPr>
          <w:p w14:paraId="3F5B6DE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2025,163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(</w:t>
            </w:r>
            <w:r>
              <w:rPr>
                <w:rFonts w:hint="eastAsia" w:ascii="Times New Roman"/>
                <w:sz w:val="21"/>
                <w:szCs w:val="28"/>
              </w:rPr>
              <w:t>108760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):1-9.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1508D0DB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2025-02-24</w:t>
            </w:r>
          </w:p>
        </w:tc>
        <w:tc>
          <w:tcPr>
            <w:tcW w:w="720" w:type="dxa"/>
            <w:shd w:val="clear" w:color="auto" w:fill="auto"/>
            <w:noWrap/>
            <w:vAlign w:val="center"/>
          </w:tcPr>
          <w:p w14:paraId="201B8D9E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;</w:t>
            </w:r>
            <w:r>
              <w:rPr>
                <w:rFonts w:hint="eastAsia" w:ascii="Times New Roman"/>
                <w:sz w:val="21"/>
                <w:szCs w:val="28"/>
              </w:rPr>
              <w:t>Xiaoxiao Wang</w:t>
            </w:r>
          </w:p>
        </w:tc>
        <w:tc>
          <w:tcPr>
            <w:tcW w:w="693" w:type="dxa"/>
            <w:shd w:val="clear" w:color="auto" w:fill="auto"/>
            <w:noWrap/>
            <w:vAlign w:val="center"/>
          </w:tcPr>
          <w:p w14:paraId="38DDCF6A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0C9C644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shd w:val="clear" w:color="auto" w:fill="auto"/>
            <w:noWrap/>
            <w:vAlign w:val="center"/>
          </w:tcPr>
          <w:p w14:paraId="74E31169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Junjie Chen , Xiaoxiao Qin，Xiaoxiao Wang，Fangfang Zhang，Xuehong Wu，Sheng Mao，Jian Chen，Weifeng He.</w:t>
            </w:r>
          </w:p>
        </w:tc>
        <w:tc>
          <w:tcPr>
            <w:tcW w:w="773" w:type="dxa"/>
            <w:shd w:val="clear" w:color="auto" w:fill="auto"/>
            <w:noWrap/>
            <w:vAlign w:val="center"/>
          </w:tcPr>
          <w:p w14:paraId="156A5B0E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 w:cs="Times New Roman"/>
                <w:kern w:val="2"/>
                <w:sz w:val="21"/>
                <w:szCs w:val="28"/>
                <w:lang w:val="en-US" w:eastAsia="zh-CN" w:bidi="ar-SA"/>
              </w:rPr>
              <w:t>4</w:t>
            </w:r>
          </w:p>
        </w:tc>
        <w:tc>
          <w:tcPr>
            <w:tcW w:w="760" w:type="dxa"/>
            <w:shd w:val="clear" w:color="auto" w:fill="auto"/>
            <w:noWrap/>
            <w:vAlign w:val="center"/>
          </w:tcPr>
          <w:p w14:paraId="5EB788F5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SCI</w:t>
            </w:r>
          </w:p>
        </w:tc>
        <w:tc>
          <w:tcPr>
            <w:tcW w:w="827" w:type="dxa"/>
            <w:shd w:val="clear" w:color="auto" w:fill="auto"/>
            <w:noWrap/>
            <w:vAlign w:val="center"/>
          </w:tcPr>
          <w:p w14:paraId="523BC31F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hAnsi="Times New Roman" w:cs="Times New Roman" w:eastAsiaTheme="minorEastAsia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Times New Roman"/>
                <w:sz w:val="21"/>
                <w:szCs w:val="28"/>
              </w:rPr>
              <w:t>Q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1</w:t>
            </w:r>
          </w:p>
        </w:tc>
        <w:tc>
          <w:tcPr>
            <w:tcW w:w="645" w:type="dxa"/>
            <w:shd w:val="clear" w:color="auto" w:fill="auto"/>
            <w:noWrap/>
            <w:vAlign w:val="center"/>
          </w:tcPr>
          <w:p w14:paraId="5554797D">
            <w:pPr>
              <w:pStyle w:val="11"/>
              <w:wordWrap w:val="0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 w:hAnsi="Times New Roman" w:eastAsia="宋体" w:cs="Times New Roman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ascii="Times New Roman"/>
                <w:sz w:val="21"/>
                <w:szCs w:val="28"/>
              </w:rPr>
              <w:t>否</w:t>
            </w:r>
          </w:p>
        </w:tc>
      </w:tr>
      <w:tr w14:paraId="0C123C1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528" w:type="dxa"/>
            <w:noWrap/>
            <w:vAlign w:val="center"/>
          </w:tcPr>
          <w:p w14:paraId="0AE58AC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7E0D376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</w:rPr>
              <w:t>The Effects of the Planet–Gear Manufacturing Eccentric Errors on the Dynamic Properties for Herringbone Planetary Gears</w:t>
            </w: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/Applied Sciences/Fei Ren,Ansheng Li ,Guiqin Shi,Xiaoling Wu,Ning Wang.</w:t>
            </w:r>
          </w:p>
        </w:tc>
        <w:tc>
          <w:tcPr>
            <w:tcW w:w="1534" w:type="dxa"/>
            <w:noWrap/>
            <w:vAlign w:val="center"/>
          </w:tcPr>
          <w:p w14:paraId="7B123A0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2020,10(3):1-18</w:t>
            </w:r>
          </w:p>
        </w:tc>
        <w:tc>
          <w:tcPr>
            <w:tcW w:w="760" w:type="dxa"/>
            <w:noWrap/>
            <w:vAlign w:val="center"/>
          </w:tcPr>
          <w:p w14:paraId="5D00B14B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2020-1-4</w:t>
            </w:r>
          </w:p>
        </w:tc>
        <w:tc>
          <w:tcPr>
            <w:tcW w:w="720" w:type="dxa"/>
            <w:noWrap/>
            <w:vAlign w:val="center"/>
          </w:tcPr>
          <w:p w14:paraId="5DC76A8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Fei Ren,Ansheng Li ,Guiqin Shi</w:t>
            </w:r>
          </w:p>
        </w:tc>
        <w:tc>
          <w:tcPr>
            <w:tcW w:w="693" w:type="dxa"/>
            <w:noWrap/>
            <w:vAlign w:val="center"/>
          </w:tcPr>
          <w:p w14:paraId="55205C78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Fei Ren</w:t>
            </w:r>
          </w:p>
        </w:tc>
        <w:tc>
          <w:tcPr>
            <w:tcW w:w="773" w:type="dxa"/>
            <w:noWrap/>
            <w:vAlign w:val="center"/>
          </w:tcPr>
          <w:p w14:paraId="326D059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Zhengzhou University of Light Industry</w:t>
            </w:r>
          </w:p>
        </w:tc>
        <w:tc>
          <w:tcPr>
            <w:tcW w:w="694" w:type="dxa"/>
            <w:noWrap/>
            <w:vAlign w:val="center"/>
          </w:tcPr>
          <w:p w14:paraId="53A3B5E4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Fei Ren,Ansheng Li ,Guiqin Shi,Xiaoling Wu,Ning Wang.</w:t>
            </w:r>
          </w:p>
        </w:tc>
        <w:tc>
          <w:tcPr>
            <w:tcW w:w="773" w:type="dxa"/>
            <w:noWrap/>
            <w:vAlign w:val="center"/>
          </w:tcPr>
          <w:p w14:paraId="0BE514D5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13</w:t>
            </w:r>
          </w:p>
        </w:tc>
        <w:tc>
          <w:tcPr>
            <w:tcW w:w="760" w:type="dxa"/>
            <w:noWrap/>
            <w:vAlign w:val="center"/>
          </w:tcPr>
          <w:p w14:paraId="1885C3C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SCI</w:t>
            </w:r>
          </w:p>
        </w:tc>
        <w:tc>
          <w:tcPr>
            <w:tcW w:w="827" w:type="dxa"/>
            <w:noWrap/>
            <w:vAlign w:val="center"/>
          </w:tcPr>
          <w:p w14:paraId="7253D96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Q2</w:t>
            </w:r>
          </w:p>
        </w:tc>
        <w:tc>
          <w:tcPr>
            <w:tcW w:w="645" w:type="dxa"/>
            <w:noWrap/>
            <w:vAlign w:val="center"/>
          </w:tcPr>
          <w:p w14:paraId="6728D61F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否</w:t>
            </w:r>
          </w:p>
        </w:tc>
      </w:tr>
      <w:tr w14:paraId="7883185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8" w:type="dxa"/>
            <w:noWrap/>
          </w:tcPr>
          <w:p w14:paraId="2F131B2C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6955" w:type="dxa"/>
            <w:gridSpan w:val="7"/>
            <w:noWrap/>
            <w:vAlign w:val="center"/>
          </w:tcPr>
          <w:p w14:paraId="51D1CC32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  <w:r>
              <w:rPr>
                <w:rFonts w:ascii="Times New Roman"/>
                <w:color w:val="auto"/>
                <w:sz w:val="21"/>
                <w:szCs w:val="28"/>
              </w:rPr>
              <w:t>合计</w:t>
            </w:r>
          </w:p>
        </w:tc>
        <w:tc>
          <w:tcPr>
            <w:tcW w:w="773" w:type="dxa"/>
            <w:noWrap/>
            <w:vAlign w:val="center"/>
          </w:tcPr>
          <w:p w14:paraId="2DC868FE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auto"/>
                <w:sz w:val="21"/>
                <w:szCs w:val="28"/>
                <w:lang w:val="en-US" w:eastAsia="zh-CN"/>
              </w:rPr>
              <w:t>57</w:t>
            </w:r>
          </w:p>
        </w:tc>
        <w:tc>
          <w:tcPr>
            <w:tcW w:w="760" w:type="dxa"/>
            <w:noWrap/>
            <w:vAlign w:val="center"/>
          </w:tcPr>
          <w:p w14:paraId="3899875A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827" w:type="dxa"/>
            <w:noWrap/>
            <w:vAlign w:val="center"/>
          </w:tcPr>
          <w:p w14:paraId="533D2447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20E4EAF3">
            <w:pPr>
              <w:pStyle w:val="11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auto"/>
                <w:sz w:val="21"/>
                <w:szCs w:val="28"/>
              </w:rPr>
            </w:pPr>
          </w:p>
        </w:tc>
      </w:tr>
    </w:tbl>
    <w:p w14:paraId="2D046C5D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：张德海,李静霞,曹宁,陈俊杰,任菲,丁昌,李俊美</w:t>
      </w:r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：郑州轻工业大学, 郑州名泰医疗器械有限公司,郑州科技学院</w:t>
      </w:r>
    </w:p>
    <w:p w14:paraId="4F226815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7AA637F"/>
    <w:rsid w:val="0CAB66CA"/>
    <w:rsid w:val="0F950E9E"/>
    <w:rsid w:val="156B36C3"/>
    <w:rsid w:val="2FB81BC0"/>
    <w:rsid w:val="325A1146"/>
    <w:rsid w:val="44316471"/>
    <w:rsid w:val="572F24EA"/>
    <w:rsid w:val="68353A1C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1405</Words>
  <Characters>3975</Characters>
  <Lines>1</Lines>
  <Paragraphs>1</Paragraphs>
  <TotalTime>5</TotalTime>
  <ScaleCrop>false</ScaleCrop>
  <LinksUpToDate>false</LinksUpToDate>
  <CharactersWithSpaces>4319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孟颍辉</cp:lastModifiedBy>
  <dcterms:modified xsi:type="dcterms:W3CDTF">2026-05-06T01:09:39Z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C75FB71C58DC491180E700B93F466181_13</vt:lpwstr>
  </property>
</Properties>
</file>