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C362FC">
      <w:pPr>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val="en-US" w:eastAsia="zh-CN"/>
        </w:rPr>
        <w:t>郑州轻工业大学</w:t>
      </w:r>
      <w:r>
        <w:rPr>
          <w:rFonts w:hint="eastAsia" w:ascii="方正小标宋简体" w:hAnsi="方正小标宋简体" w:eastAsia="方正小标宋简体" w:cs="方正小标宋简体"/>
          <w:sz w:val="44"/>
          <w:szCs w:val="44"/>
          <w:lang w:eastAsia="zh-CN"/>
        </w:rPr>
        <w:t>科研成果赋权情况表</w:t>
      </w:r>
    </w:p>
    <w:p w14:paraId="40F5B73A">
      <w:pPr>
        <w:spacing w:before="156" w:beforeLines="50"/>
        <w:jc w:val="center"/>
        <w:rPr>
          <w:rFonts w:ascii="仿宋" w:hAnsi="仿宋" w:eastAsia="仿宋" w:cs="仿宋"/>
          <w:sz w:val="28"/>
          <w:szCs w:val="28"/>
        </w:rPr>
      </w:pPr>
      <w:r>
        <w:rPr>
          <w:rFonts w:hint="eastAsia" w:ascii="仿宋" w:hAnsi="仿宋" w:eastAsia="仿宋" w:cs="仿宋"/>
          <w:sz w:val="28"/>
          <w:szCs w:val="28"/>
        </w:rPr>
        <w:t xml:space="preserve">                                                                      时间：202</w:t>
      </w:r>
      <w:r>
        <w:rPr>
          <w:rFonts w:hint="eastAsia" w:ascii="仿宋" w:hAnsi="仿宋" w:eastAsia="仿宋" w:cs="仿宋"/>
          <w:sz w:val="28"/>
          <w:szCs w:val="28"/>
          <w:lang w:val="en-US" w:eastAsia="zh-CN"/>
        </w:rPr>
        <w:t>5</w:t>
      </w:r>
      <w:r>
        <w:rPr>
          <w:rFonts w:hint="eastAsia" w:ascii="仿宋" w:hAnsi="仿宋" w:eastAsia="仿宋" w:cs="仿宋"/>
          <w:sz w:val="28"/>
          <w:szCs w:val="28"/>
        </w:rPr>
        <w:t>年</w:t>
      </w:r>
      <w:r>
        <w:rPr>
          <w:rFonts w:hint="eastAsia" w:ascii="仿宋" w:hAnsi="仿宋" w:eastAsia="仿宋" w:cs="仿宋"/>
          <w:sz w:val="28"/>
          <w:szCs w:val="28"/>
          <w:lang w:val="en-US" w:eastAsia="zh-CN"/>
        </w:rPr>
        <w:t>12</w:t>
      </w:r>
      <w:r>
        <w:rPr>
          <w:rFonts w:hint="eastAsia" w:ascii="仿宋" w:hAnsi="仿宋" w:eastAsia="仿宋" w:cs="仿宋"/>
          <w:sz w:val="28"/>
          <w:szCs w:val="28"/>
        </w:rPr>
        <w:t>月</w:t>
      </w:r>
      <w:r>
        <w:rPr>
          <w:rFonts w:hint="eastAsia" w:ascii="仿宋" w:hAnsi="仿宋" w:eastAsia="仿宋" w:cs="仿宋"/>
          <w:sz w:val="28"/>
          <w:szCs w:val="28"/>
          <w:lang w:val="en-US" w:eastAsia="zh-CN"/>
        </w:rPr>
        <w:t>12</w:t>
      </w:r>
      <w:bookmarkStart w:id="0" w:name="_GoBack"/>
      <w:bookmarkEnd w:id="0"/>
      <w:r>
        <w:rPr>
          <w:rFonts w:hint="eastAsia" w:ascii="仿宋" w:hAnsi="仿宋" w:eastAsia="仿宋" w:cs="仿宋"/>
          <w:sz w:val="28"/>
          <w:szCs w:val="28"/>
        </w:rPr>
        <w:t>日</w:t>
      </w:r>
    </w:p>
    <w:tbl>
      <w:tblPr>
        <w:tblStyle w:val="2"/>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513"/>
        <w:gridCol w:w="4515"/>
        <w:gridCol w:w="1365"/>
        <w:gridCol w:w="1380"/>
        <w:gridCol w:w="1335"/>
        <w:gridCol w:w="1114"/>
        <w:gridCol w:w="1285"/>
        <w:gridCol w:w="786"/>
      </w:tblGrid>
      <w:tr w14:paraId="6C535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shd w:val="clear" w:color="auto" w:fill="auto"/>
            <w:noWrap w:val="0"/>
            <w:vAlign w:val="center"/>
          </w:tcPr>
          <w:p w14:paraId="432EDF2D">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340" w:lineRule="atLeast"/>
              <w:ind w:left="0" w:right="0"/>
              <w:jc w:val="center"/>
              <w:textAlignment w:val="auto"/>
              <w:rPr>
                <w:rFonts w:hint="eastAsia" w:ascii="黑体" w:hAnsi="黑体" w:eastAsia="黑体" w:cs="黑体"/>
                <w:sz w:val="24"/>
              </w:rPr>
            </w:pPr>
            <w:r>
              <w:rPr>
                <w:rFonts w:hint="eastAsia" w:ascii="黑体" w:hAnsi="黑体" w:eastAsia="黑体" w:cs="黑体"/>
                <w:sz w:val="24"/>
              </w:rPr>
              <w:t>序号</w:t>
            </w:r>
          </w:p>
        </w:tc>
        <w:tc>
          <w:tcPr>
            <w:tcW w:w="1513" w:type="dxa"/>
            <w:shd w:val="clear" w:color="auto" w:fill="auto"/>
            <w:noWrap w:val="0"/>
            <w:vAlign w:val="center"/>
          </w:tcPr>
          <w:p w14:paraId="6E96375B">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340" w:lineRule="atLeast"/>
              <w:ind w:left="0" w:right="0"/>
              <w:jc w:val="center"/>
              <w:textAlignment w:val="auto"/>
              <w:rPr>
                <w:rFonts w:hint="eastAsia" w:ascii="黑体" w:hAnsi="黑体" w:eastAsia="黑体" w:cs="黑体"/>
                <w:sz w:val="24"/>
              </w:rPr>
            </w:pPr>
            <w:r>
              <w:rPr>
                <w:rFonts w:hint="eastAsia" w:ascii="黑体" w:hAnsi="黑体" w:eastAsia="黑体" w:cs="黑体"/>
                <w:sz w:val="24"/>
              </w:rPr>
              <w:t>成果名称</w:t>
            </w:r>
          </w:p>
        </w:tc>
        <w:tc>
          <w:tcPr>
            <w:tcW w:w="4515" w:type="dxa"/>
            <w:shd w:val="clear" w:color="auto" w:fill="auto"/>
            <w:noWrap w:val="0"/>
            <w:vAlign w:val="center"/>
          </w:tcPr>
          <w:p w14:paraId="435D6E75">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340" w:lineRule="atLeast"/>
              <w:ind w:left="0" w:right="0"/>
              <w:jc w:val="center"/>
              <w:textAlignment w:val="auto"/>
              <w:rPr>
                <w:rFonts w:hint="eastAsia" w:ascii="黑体" w:hAnsi="黑体" w:eastAsia="黑体" w:cs="黑体"/>
                <w:sz w:val="24"/>
              </w:rPr>
            </w:pPr>
            <w:r>
              <w:rPr>
                <w:rFonts w:hint="eastAsia" w:ascii="黑体" w:hAnsi="黑体" w:eastAsia="黑体" w:cs="黑体"/>
                <w:sz w:val="24"/>
              </w:rPr>
              <w:t>成果内容摘要</w:t>
            </w:r>
          </w:p>
        </w:tc>
        <w:tc>
          <w:tcPr>
            <w:tcW w:w="1365" w:type="dxa"/>
            <w:shd w:val="clear" w:color="auto" w:fill="auto"/>
            <w:noWrap w:val="0"/>
            <w:vAlign w:val="center"/>
          </w:tcPr>
          <w:p w14:paraId="4C9EE854">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340" w:lineRule="atLeast"/>
              <w:ind w:left="0" w:right="0"/>
              <w:jc w:val="center"/>
              <w:textAlignment w:val="auto"/>
              <w:rPr>
                <w:rFonts w:hint="eastAsia" w:ascii="黑体" w:hAnsi="黑体" w:eastAsia="黑体" w:cs="黑体"/>
                <w:sz w:val="24"/>
              </w:rPr>
            </w:pPr>
            <w:r>
              <w:rPr>
                <w:rFonts w:hint="eastAsia" w:ascii="黑体" w:hAnsi="黑体" w:eastAsia="黑体" w:cs="黑体"/>
                <w:sz w:val="24"/>
              </w:rPr>
              <w:t>成果完成人</w:t>
            </w:r>
          </w:p>
        </w:tc>
        <w:tc>
          <w:tcPr>
            <w:tcW w:w="1380" w:type="dxa"/>
            <w:shd w:val="clear" w:color="auto" w:fill="auto"/>
            <w:noWrap w:val="0"/>
            <w:vAlign w:val="center"/>
          </w:tcPr>
          <w:p w14:paraId="0E05772D">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340" w:lineRule="atLeast"/>
              <w:ind w:left="0" w:right="0"/>
              <w:jc w:val="center"/>
              <w:textAlignment w:val="auto"/>
              <w:rPr>
                <w:rFonts w:hint="eastAsia" w:ascii="黑体" w:hAnsi="黑体" w:eastAsia="黑体" w:cs="黑体"/>
                <w:sz w:val="24"/>
                <w:lang w:eastAsia="zh-CN"/>
              </w:rPr>
            </w:pPr>
            <w:r>
              <w:rPr>
                <w:rFonts w:hint="eastAsia" w:ascii="黑体" w:hAnsi="黑体" w:eastAsia="黑体" w:cs="黑体"/>
                <w:sz w:val="24"/>
                <w:lang w:eastAsia="zh-CN"/>
              </w:rPr>
              <w:t>赋权类型</w:t>
            </w:r>
          </w:p>
        </w:tc>
        <w:tc>
          <w:tcPr>
            <w:tcW w:w="1335" w:type="dxa"/>
            <w:shd w:val="clear" w:color="auto" w:fill="auto"/>
            <w:noWrap w:val="0"/>
            <w:vAlign w:val="center"/>
          </w:tcPr>
          <w:p w14:paraId="7974598C">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340" w:lineRule="atLeast"/>
              <w:ind w:left="0" w:right="0"/>
              <w:jc w:val="center"/>
              <w:textAlignment w:val="auto"/>
              <w:rPr>
                <w:rFonts w:hint="eastAsia" w:ascii="黑体" w:hAnsi="黑体" w:eastAsia="黑体" w:cs="黑体"/>
                <w:sz w:val="24"/>
              </w:rPr>
            </w:pPr>
            <w:r>
              <w:rPr>
                <w:rFonts w:hint="eastAsia" w:ascii="黑体" w:hAnsi="黑体" w:eastAsia="黑体" w:cs="黑体"/>
                <w:sz w:val="24"/>
              </w:rPr>
              <w:t>转化</w:t>
            </w:r>
          </w:p>
          <w:p w14:paraId="1324D02A">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340" w:lineRule="atLeast"/>
              <w:ind w:left="0" w:right="0"/>
              <w:jc w:val="center"/>
              <w:textAlignment w:val="auto"/>
              <w:rPr>
                <w:rFonts w:hint="eastAsia" w:ascii="黑体" w:hAnsi="黑体" w:eastAsia="黑体" w:cs="黑体"/>
                <w:sz w:val="24"/>
              </w:rPr>
            </w:pPr>
            <w:r>
              <w:rPr>
                <w:rFonts w:hint="eastAsia" w:ascii="黑体" w:hAnsi="黑体" w:eastAsia="黑体" w:cs="黑体"/>
                <w:sz w:val="24"/>
              </w:rPr>
              <w:t>方式</w:t>
            </w:r>
          </w:p>
        </w:tc>
        <w:tc>
          <w:tcPr>
            <w:tcW w:w="1114" w:type="dxa"/>
            <w:shd w:val="clear" w:color="auto" w:fill="auto"/>
            <w:noWrap w:val="0"/>
            <w:vAlign w:val="center"/>
          </w:tcPr>
          <w:p w14:paraId="6B2A5ED4">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340" w:lineRule="atLeast"/>
              <w:ind w:left="0" w:right="0"/>
              <w:jc w:val="center"/>
              <w:textAlignment w:val="auto"/>
              <w:rPr>
                <w:rFonts w:hint="eastAsia" w:ascii="黑体" w:hAnsi="黑体" w:eastAsia="黑体" w:cs="黑体"/>
                <w:sz w:val="24"/>
              </w:rPr>
            </w:pPr>
            <w:r>
              <w:rPr>
                <w:rFonts w:hint="eastAsia" w:ascii="黑体" w:hAnsi="黑体" w:eastAsia="黑体" w:cs="黑体"/>
                <w:sz w:val="24"/>
              </w:rPr>
              <w:t>交易金额（万</w:t>
            </w:r>
            <w:r>
              <w:rPr>
                <w:rFonts w:hint="eastAsia" w:ascii="黑体" w:hAnsi="黑体" w:eastAsia="黑体" w:cs="黑体"/>
                <w:sz w:val="24"/>
                <w:lang w:val="en-US" w:eastAsia="zh-CN"/>
              </w:rPr>
              <w:t>元</w:t>
            </w:r>
            <w:r>
              <w:rPr>
                <w:rFonts w:hint="eastAsia" w:ascii="黑体" w:hAnsi="黑体" w:eastAsia="黑体" w:cs="黑体"/>
                <w:sz w:val="24"/>
              </w:rPr>
              <w:t>）</w:t>
            </w:r>
          </w:p>
        </w:tc>
        <w:tc>
          <w:tcPr>
            <w:tcW w:w="1285" w:type="dxa"/>
            <w:shd w:val="clear" w:color="auto" w:fill="auto"/>
            <w:noWrap w:val="0"/>
            <w:vAlign w:val="center"/>
          </w:tcPr>
          <w:p w14:paraId="3E4AB182">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340" w:lineRule="atLeast"/>
              <w:ind w:left="0" w:right="0"/>
              <w:jc w:val="center"/>
              <w:textAlignment w:val="auto"/>
              <w:rPr>
                <w:rFonts w:hint="eastAsia" w:ascii="黑体" w:hAnsi="黑体" w:eastAsia="黑体" w:cs="黑体"/>
                <w:sz w:val="24"/>
              </w:rPr>
            </w:pPr>
            <w:r>
              <w:rPr>
                <w:rFonts w:hint="eastAsia" w:ascii="黑体" w:hAnsi="黑体" w:eastAsia="黑体" w:cs="黑体"/>
                <w:sz w:val="24"/>
              </w:rPr>
              <w:t>受让方</w:t>
            </w:r>
          </w:p>
        </w:tc>
        <w:tc>
          <w:tcPr>
            <w:tcW w:w="786" w:type="dxa"/>
            <w:shd w:val="clear" w:color="auto" w:fill="auto"/>
            <w:noWrap w:val="0"/>
            <w:vAlign w:val="center"/>
          </w:tcPr>
          <w:p w14:paraId="51B47428">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340" w:lineRule="atLeast"/>
              <w:ind w:left="0" w:right="0"/>
              <w:jc w:val="center"/>
              <w:textAlignment w:val="auto"/>
              <w:rPr>
                <w:rFonts w:hint="eastAsia" w:ascii="黑体" w:hAnsi="黑体" w:eastAsia="黑体" w:cs="黑体"/>
                <w:sz w:val="24"/>
              </w:rPr>
            </w:pPr>
            <w:r>
              <w:rPr>
                <w:rFonts w:hint="eastAsia" w:ascii="黑体" w:hAnsi="黑体" w:eastAsia="黑体" w:cs="黑体"/>
                <w:sz w:val="24"/>
              </w:rPr>
              <w:t>备注</w:t>
            </w:r>
          </w:p>
        </w:tc>
      </w:tr>
      <w:tr w14:paraId="1C768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1398865A">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lang w:val="en-US" w:eastAsia="zh-CN" w:bidi="ar-SA"/>
              </w:rPr>
              <w:t>1</w:t>
            </w:r>
          </w:p>
        </w:tc>
        <w:tc>
          <w:tcPr>
            <w:tcW w:w="1513" w:type="dxa"/>
            <w:shd w:val="clear" w:color="auto" w:fill="auto"/>
            <w:noWrap w:val="0"/>
            <w:vAlign w:val="center"/>
          </w:tcPr>
          <w:p w14:paraId="46D05969">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lang w:val="en-US" w:eastAsia="zh-CN" w:bidi="ar-SA"/>
              </w:rPr>
              <w:t>一种具有类水和拓扑传输特性的双功能五模超材料结构</w:t>
            </w:r>
          </w:p>
        </w:tc>
        <w:tc>
          <w:tcPr>
            <w:tcW w:w="4515" w:type="dxa"/>
            <w:shd w:val="clear" w:color="auto" w:fill="auto"/>
            <w:noWrap w:val="0"/>
            <w:vAlign w:val="center"/>
          </w:tcPr>
          <w:p w14:paraId="2FDED928">
            <w:pPr>
              <w:keepNext w:val="0"/>
              <w:keepLines w:val="0"/>
              <w:pageBreakBefore w:val="0"/>
              <w:widowControl w:val="0"/>
              <w:suppressLineNumbers w:val="0"/>
              <w:kinsoku/>
              <w:wordWrap/>
              <w:overflowPunct/>
              <w:topLinePunct w:val="0"/>
              <w:autoSpaceDE/>
              <w:autoSpaceDN/>
              <w:bidi w:val="0"/>
              <w:adjustRightInd/>
              <w:spacing w:before="78" w:beforeAutospacing="0" w:after="0" w:afterAutospacing="0" w:line="640" w:lineRule="exact"/>
              <w:ind w:left="0" w:right="0" w:firstLine="360" w:firstLineChars="200"/>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z w:val="18"/>
                <w:szCs w:val="18"/>
                <w:lang w:val="en-US" w:eastAsia="zh-CN"/>
              </w:rPr>
              <w:t>本发明涉及一种具有类水和拓扑传输特性的双功能五模超材料结构，通过在PM引入结构微扰，可以打开在K点处的狄拉克点简并产生拓扑能带反转。通过计算由两种具有不同拓扑谷相的PM组成的超胞的投影能带结构，获得了拓扑边缘态，其对弯曲和空腔等缺陷具有较好的鲁棒性。</w:t>
            </w:r>
          </w:p>
        </w:tc>
        <w:tc>
          <w:tcPr>
            <w:tcW w:w="1365" w:type="dxa"/>
            <w:shd w:val="clear" w:color="auto" w:fill="auto"/>
            <w:noWrap w:val="0"/>
            <w:vAlign w:val="center"/>
          </w:tcPr>
          <w:p w14:paraId="3D3E30AE">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z w:val="18"/>
                <w:szCs w:val="18"/>
                <w:lang w:val="en-US" w:eastAsia="zh-CN"/>
              </w:rPr>
              <w:t>马军霞，尚付民，楚杨阳，张志锋，谷培培，杨子续，刘其林，王长江</w:t>
            </w:r>
          </w:p>
        </w:tc>
        <w:tc>
          <w:tcPr>
            <w:tcW w:w="1380" w:type="dxa"/>
            <w:shd w:val="clear" w:color="auto" w:fill="auto"/>
            <w:noWrap w:val="0"/>
            <w:vAlign w:val="center"/>
          </w:tcPr>
          <w:p w14:paraId="2F99B5CD">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lang w:val="en-US" w:eastAsia="zh-CN" w:bidi="ar-SA"/>
              </w:rPr>
              <w:t>长期使用权（10年）、</w:t>
            </w:r>
          </w:p>
        </w:tc>
        <w:tc>
          <w:tcPr>
            <w:tcW w:w="1335" w:type="dxa"/>
            <w:shd w:val="clear" w:color="auto" w:fill="auto"/>
            <w:noWrap w:val="0"/>
            <w:vAlign w:val="center"/>
          </w:tcPr>
          <w:p w14:paraId="0960FF51">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技术许可</w:t>
            </w:r>
          </w:p>
          <w:p w14:paraId="5E2859A9">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c>
          <w:tcPr>
            <w:tcW w:w="1114" w:type="dxa"/>
            <w:shd w:val="clear" w:color="auto" w:fill="auto"/>
            <w:noWrap w:val="0"/>
            <w:vAlign w:val="center"/>
          </w:tcPr>
          <w:p w14:paraId="07F3A208">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r>
              <w:rPr>
                <w:rFonts w:hint="eastAsia" w:ascii="仿宋" w:hAnsi="仿宋" w:eastAsia="仿宋" w:cs="仿宋"/>
                <w:kern w:val="2"/>
                <w:sz w:val="18"/>
                <w:szCs w:val="18"/>
                <w:lang w:val="en-US" w:eastAsia="zh-CN" w:bidi="ar-SA"/>
              </w:rPr>
              <w:t>3.1</w:t>
            </w:r>
          </w:p>
        </w:tc>
        <w:tc>
          <w:tcPr>
            <w:tcW w:w="1285" w:type="dxa"/>
            <w:shd w:val="clear" w:color="auto" w:fill="auto"/>
            <w:noWrap w:val="0"/>
            <w:vAlign w:val="center"/>
          </w:tcPr>
          <w:p w14:paraId="083636B1">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napToGrid w:val="0"/>
                <w:color w:val="000000"/>
                <w:spacing w:val="-3"/>
                <w:kern w:val="0"/>
                <w:sz w:val="18"/>
                <w:szCs w:val="18"/>
                <w:lang w:val="en-US" w:eastAsia="zh-CN" w:bidi="ar-SA"/>
              </w:rPr>
            </w:pPr>
            <w:r>
              <w:rPr>
                <w:rFonts w:hint="eastAsia" w:ascii="仿宋" w:hAnsi="仿宋" w:eastAsia="仿宋" w:cs="仿宋"/>
                <w:snapToGrid w:val="0"/>
                <w:color w:val="000000"/>
                <w:spacing w:val="-4"/>
                <w:kern w:val="0"/>
                <w:sz w:val="18"/>
                <w:szCs w:val="18"/>
                <w:lang w:val="en-US" w:eastAsia="zh-CN" w:bidi="ar-SA"/>
              </w:rPr>
              <w:t>郑州敏道数字科技有限公司</w:t>
            </w:r>
          </w:p>
        </w:tc>
        <w:tc>
          <w:tcPr>
            <w:tcW w:w="786" w:type="dxa"/>
            <w:shd w:val="clear" w:color="auto" w:fill="auto"/>
            <w:noWrap w:val="0"/>
            <w:vAlign w:val="center"/>
          </w:tcPr>
          <w:p w14:paraId="0B23D768">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r>
      <w:tr w14:paraId="5C35F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5D171271">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2</w:t>
            </w:r>
          </w:p>
        </w:tc>
        <w:tc>
          <w:tcPr>
            <w:tcW w:w="1513" w:type="dxa"/>
            <w:shd w:val="clear" w:color="auto" w:fill="auto"/>
            <w:noWrap w:val="0"/>
            <w:vAlign w:val="center"/>
          </w:tcPr>
          <w:p w14:paraId="22D343F5">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一种兼具宽频隔声的金属水超材料</w:t>
            </w:r>
          </w:p>
        </w:tc>
        <w:tc>
          <w:tcPr>
            <w:tcW w:w="4515" w:type="dxa"/>
            <w:shd w:val="clear" w:color="auto" w:fill="auto"/>
            <w:noWrap w:val="0"/>
            <w:vAlign w:val="center"/>
          </w:tcPr>
          <w:p w14:paraId="1F3555A6">
            <w:pPr>
              <w:keepNext w:val="0"/>
              <w:keepLines w:val="0"/>
              <w:pageBreakBefore w:val="0"/>
              <w:suppressLineNumbers w:val="0"/>
              <w:kinsoku/>
              <w:wordWrap/>
              <w:overflowPunct/>
              <w:topLinePunct w:val="0"/>
              <w:autoSpaceDE/>
              <w:autoSpaceDN/>
              <w:bidi w:val="0"/>
              <w:adjustRightInd/>
              <w:spacing w:before="78" w:beforeAutospacing="0" w:after="0" w:afterAutospacing="0" w:line="640" w:lineRule="exact"/>
              <w:ind w:left="0" w:right="0" w:firstLine="360" w:firstLineChars="20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z w:val="18"/>
                <w:szCs w:val="18"/>
              </w:rPr>
              <w:t>本发明涉及一种兼具宽频隔声的金属水超材料，属于声学超材料技术领域。该兼具宽频隔声的金属水超材料的构形为一个以上相同大小结构的六边形晶格构成的微结构，所述六边形晶格内设置有多个配重，多个配重非对称分布在六边形晶格内。该兼具宽频隔声的金属水超材料，具有优异的流体性质，而且拥有声子禁带。在单模频率范围内兼具宽频隔声的金属水超材料展现出流体属性，即金属水的特性，具有在流体中声波传输无明显散射的特点。在全方向声子带隙频率范围内，包括剪切波和压缩波在内的所有声波模式均无法传输通过，具有隔声的特性。拓宽了金属水超材料在声学工程中的应用。</w:t>
            </w:r>
          </w:p>
        </w:tc>
        <w:tc>
          <w:tcPr>
            <w:tcW w:w="1365" w:type="dxa"/>
            <w:shd w:val="clear" w:color="auto" w:fill="auto"/>
            <w:noWrap w:val="0"/>
            <w:vAlign w:val="center"/>
          </w:tcPr>
          <w:p w14:paraId="1FE905F2">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z w:val="18"/>
                <w:szCs w:val="18"/>
              </w:rPr>
              <w:t>楚杨阳、孙彤、吕睿、陈明、张志锋</w:t>
            </w:r>
          </w:p>
        </w:tc>
        <w:tc>
          <w:tcPr>
            <w:tcW w:w="1380" w:type="dxa"/>
            <w:shd w:val="clear" w:color="auto" w:fill="auto"/>
            <w:noWrap w:val="0"/>
            <w:vAlign w:val="center"/>
          </w:tcPr>
          <w:p w14:paraId="366FEC4C">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长期使用权（10年）、</w:t>
            </w:r>
          </w:p>
        </w:tc>
        <w:tc>
          <w:tcPr>
            <w:tcW w:w="1335" w:type="dxa"/>
            <w:shd w:val="clear" w:color="auto" w:fill="auto"/>
            <w:noWrap w:val="0"/>
            <w:vAlign w:val="center"/>
          </w:tcPr>
          <w:p w14:paraId="5D99862E">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sz w:val="18"/>
                <w:szCs w:val="18"/>
              </w:rPr>
            </w:pPr>
            <w:r>
              <w:rPr>
                <w:rFonts w:hint="eastAsia" w:ascii="仿宋" w:hAnsi="仿宋" w:eastAsia="仿宋" w:cs="仿宋"/>
                <w:sz w:val="18"/>
                <w:szCs w:val="18"/>
              </w:rPr>
              <w:t>技术许可</w:t>
            </w:r>
          </w:p>
          <w:p w14:paraId="084A0576">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kern w:val="2"/>
                <w:sz w:val="18"/>
                <w:szCs w:val="18"/>
                <w:lang w:val="en-US" w:eastAsia="zh-CN" w:bidi="ar-SA"/>
              </w:rPr>
            </w:pPr>
          </w:p>
        </w:tc>
        <w:tc>
          <w:tcPr>
            <w:tcW w:w="1114" w:type="dxa"/>
            <w:shd w:val="clear" w:color="auto" w:fill="auto"/>
            <w:noWrap w:val="0"/>
            <w:vAlign w:val="center"/>
          </w:tcPr>
          <w:p w14:paraId="7DF47493">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3.1</w:t>
            </w:r>
          </w:p>
        </w:tc>
        <w:tc>
          <w:tcPr>
            <w:tcW w:w="1285" w:type="dxa"/>
            <w:shd w:val="clear" w:color="auto" w:fill="auto"/>
            <w:noWrap w:val="0"/>
            <w:vAlign w:val="center"/>
          </w:tcPr>
          <w:p w14:paraId="46541EAD">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snapToGrid w:val="0"/>
                <w:color w:val="000000"/>
                <w:spacing w:val="-3"/>
                <w:kern w:val="0"/>
                <w:sz w:val="18"/>
                <w:szCs w:val="18"/>
                <w:lang w:val="en-US" w:eastAsia="zh-CN" w:bidi="ar-SA"/>
              </w:rPr>
            </w:pPr>
            <w:r>
              <w:rPr>
                <w:rFonts w:hint="eastAsia" w:ascii="仿宋" w:hAnsi="仿宋" w:eastAsia="仿宋" w:cs="仿宋"/>
                <w:sz w:val="18"/>
                <w:szCs w:val="18"/>
              </w:rPr>
              <w:t>郑州敏道数字科技有限公司</w:t>
            </w:r>
          </w:p>
        </w:tc>
        <w:tc>
          <w:tcPr>
            <w:tcW w:w="786" w:type="dxa"/>
            <w:shd w:val="clear" w:color="auto" w:fill="auto"/>
            <w:noWrap w:val="0"/>
            <w:vAlign w:val="center"/>
          </w:tcPr>
          <w:p w14:paraId="1F112D87">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r>
      <w:tr w14:paraId="5CBB6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517EE27C">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3</w:t>
            </w:r>
          </w:p>
        </w:tc>
        <w:tc>
          <w:tcPr>
            <w:tcW w:w="1513" w:type="dxa"/>
            <w:shd w:val="clear" w:color="auto" w:fill="auto"/>
            <w:noWrap w:val="0"/>
            <w:vAlign w:val="center"/>
          </w:tcPr>
          <w:p w14:paraId="3DBB08CC">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自传感IPMC人工肌肉及其制备方法</w:t>
            </w:r>
          </w:p>
        </w:tc>
        <w:tc>
          <w:tcPr>
            <w:tcW w:w="4515" w:type="dxa"/>
            <w:shd w:val="clear" w:color="auto" w:fill="auto"/>
            <w:noWrap w:val="0"/>
            <w:vAlign w:val="center"/>
          </w:tcPr>
          <w:p w14:paraId="17B45582">
            <w:pPr>
              <w:keepNext w:val="0"/>
              <w:keepLines w:val="0"/>
              <w:pageBreakBefore w:val="0"/>
              <w:suppressLineNumbers w:val="0"/>
              <w:kinsoku/>
              <w:wordWrap/>
              <w:overflowPunct/>
              <w:topLinePunct w:val="0"/>
              <w:autoSpaceDE/>
              <w:autoSpaceDN/>
              <w:bidi w:val="0"/>
              <w:adjustRightInd/>
              <w:spacing w:before="78"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本发明公开了一种自传感IPMC人工肌肉及其制备方法，由驱动层、过渡层、传感层与外界的驱动信号模块、传感器采集模块组成，其中过渡层位于驱动层和传感层之间，驱动层与驱动信号模块连接，传感层与传感器采集模块连接。以Nafion膜为基底，Pt纳米颗粒为表面电极制备IPMC的基础上，先使用PVP@AgNPs进行封装，再涂覆一层柔性的PMVS聚烯基硅氧烷进行封装，最后键合叉指图案电极。本发明提出的自传感IPMC人工肌肉能够实现驱动与传感一体化，IPMC在电场激励下运动，而IPMC运动又造成其表面叉指电容器之间的距离变化，从而引起电容变化。利用单片机和蓝牙可随时采集到电容的变化，实现IPMC运动的监控。</w:t>
            </w:r>
          </w:p>
        </w:tc>
        <w:tc>
          <w:tcPr>
            <w:tcW w:w="1365" w:type="dxa"/>
            <w:shd w:val="clear" w:color="auto" w:fill="auto"/>
            <w:noWrap w:val="0"/>
            <w:vAlign w:val="center"/>
          </w:tcPr>
          <w:p w14:paraId="5DABCC9B">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郭东杰，李海霞，梅龙祥，马丽，苗晓雨，李晓阳</w:t>
            </w:r>
          </w:p>
        </w:tc>
        <w:tc>
          <w:tcPr>
            <w:tcW w:w="1380" w:type="dxa"/>
            <w:shd w:val="clear" w:color="auto" w:fill="auto"/>
            <w:noWrap w:val="0"/>
            <w:vAlign w:val="center"/>
          </w:tcPr>
          <w:p w14:paraId="1A542143">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长期使用权（</w:t>
            </w:r>
            <w:r>
              <w:rPr>
                <w:rFonts w:hint="eastAsia" w:ascii="仿宋" w:hAnsi="仿宋" w:eastAsia="仿宋" w:cs="仿宋"/>
                <w:snapToGrid w:val="0"/>
                <w:color w:val="000000"/>
                <w:spacing w:val="-4"/>
                <w:kern w:val="0"/>
                <w:sz w:val="18"/>
                <w:szCs w:val="18"/>
                <w:lang w:val="en-US" w:eastAsia="zh-CN"/>
              </w:rPr>
              <w:t>10</w:t>
            </w:r>
            <w:r>
              <w:rPr>
                <w:rFonts w:hint="eastAsia" w:ascii="仿宋" w:hAnsi="仿宋" w:eastAsia="仿宋" w:cs="仿宋"/>
                <w:snapToGrid w:val="0"/>
                <w:color w:val="000000"/>
                <w:spacing w:val="-4"/>
                <w:kern w:val="0"/>
                <w:sz w:val="18"/>
                <w:szCs w:val="18"/>
              </w:rPr>
              <w:t>年）</w:t>
            </w:r>
          </w:p>
        </w:tc>
        <w:tc>
          <w:tcPr>
            <w:tcW w:w="1335" w:type="dxa"/>
            <w:shd w:val="clear" w:color="auto" w:fill="auto"/>
            <w:noWrap w:val="0"/>
            <w:vAlign w:val="center"/>
          </w:tcPr>
          <w:p w14:paraId="2A460628">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sz w:val="18"/>
                <w:szCs w:val="18"/>
              </w:rPr>
            </w:pPr>
            <w:r>
              <w:rPr>
                <w:rFonts w:hint="eastAsia" w:ascii="仿宋" w:hAnsi="仿宋" w:eastAsia="仿宋" w:cs="仿宋"/>
                <w:sz w:val="18"/>
                <w:szCs w:val="18"/>
              </w:rPr>
              <w:t>技术许可</w:t>
            </w:r>
          </w:p>
          <w:p w14:paraId="7B2B70C6">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kern w:val="2"/>
                <w:sz w:val="18"/>
                <w:szCs w:val="18"/>
                <w:lang w:val="en-US" w:eastAsia="zh-CN" w:bidi="ar-SA"/>
              </w:rPr>
            </w:pPr>
          </w:p>
        </w:tc>
        <w:tc>
          <w:tcPr>
            <w:tcW w:w="1114" w:type="dxa"/>
            <w:shd w:val="clear" w:color="auto" w:fill="auto"/>
            <w:noWrap w:val="0"/>
            <w:vAlign w:val="center"/>
          </w:tcPr>
          <w:p w14:paraId="28B3FE1A">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3.2</w:t>
            </w:r>
          </w:p>
        </w:tc>
        <w:tc>
          <w:tcPr>
            <w:tcW w:w="1285" w:type="dxa"/>
            <w:shd w:val="clear" w:color="auto" w:fill="auto"/>
            <w:noWrap w:val="0"/>
            <w:vAlign w:val="center"/>
          </w:tcPr>
          <w:p w14:paraId="0C870545">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snapToGrid w:val="0"/>
                <w:color w:val="000000"/>
                <w:spacing w:val="-3"/>
                <w:kern w:val="0"/>
                <w:sz w:val="18"/>
                <w:szCs w:val="18"/>
                <w:lang w:val="en-US" w:eastAsia="zh-CN" w:bidi="ar-SA"/>
              </w:rPr>
            </w:pPr>
            <w:r>
              <w:rPr>
                <w:rFonts w:hint="eastAsia" w:ascii="仿宋" w:hAnsi="仿宋" w:eastAsia="仿宋" w:cs="仿宋"/>
                <w:snapToGrid w:val="0"/>
                <w:color w:val="000000"/>
                <w:spacing w:val="-3"/>
                <w:kern w:val="0"/>
                <w:sz w:val="18"/>
                <w:szCs w:val="18"/>
              </w:rPr>
              <w:t>郑州欧姆康生物材料有限公司</w:t>
            </w:r>
          </w:p>
        </w:tc>
        <w:tc>
          <w:tcPr>
            <w:tcW w:w="786" w:type="dxa"/>
            <w:shd w:val="clear" w:color="auto" w:fill="auto"/>
            <w:noWrap w:val="0"/>
            <w:vAlign w:val="center"/>
          </w:tcPr>
          <w:p w14:paraId="2611A4EC">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r>
      <w:tr w14:paraId="7FB88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21F5FE80">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4</w:t>
            </w:r>
          </w:p>
        </w:tc>
        <w:tc>
          <w:tcPr>
            <w:tcW w:w="1513" w:type="dxa"/>
            <w:shd w:val="clear" w:color="auto" w:fill="auto"/>
            <w:noWrap w:val="0"/>
            <w:vAlign w:val="center"/>
          </w:tcPr>
          <w:p w14:paraId="357174E9">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电容式聚合物应变传感器、制备方法及应用</w:t>
            </w:r>
          </w:p>
        </w:tc>
        <w:tc>
          <w:tcPr>
            <w:tcW w:w="4515" w:type="dxa"/>
            <w:shd w:val="clear" w:color="auto" w:fill="auto"/>
            <w:noWrap w:val="0"/>
            <w:vAlign w:val="center"/>
          </w:tcPr>
          <w:p w14:paraId="6668E05A">
            <w:pPr>
              <w:keepNext w:val="0"/>
              <w:keepLines w:val="0"/>
              <w:pageBreakBefore w:val="0"/>
              <w:suppressLineNumbers w:val="0"/>
              <w:kinsoku/>
              <w:wordWrap/>
              <w:overflowPunct/>
              <w:topLinePunct w:val="0"/>
              <w:autoSpaceDE/>
              <w:autoSpaceDN/>
              <w:bidi w:val="0"/>
              <w:adjustRightInd/>
              <w:spacing w:before="78"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本发明提出一种电容式聚合物应变传感器、制备方法及应用。CN-TiO2是通过2-氰基乙基三乙氧基硅烷对TiO2的修饰后得到的，将其掺杂在PVDF-HFP聚合物中制得高介电常数的复合膜。在复合膜的两侧涂覆硅胶电极，得到大量程，高灵敏度和高分辨率的电容式聚合物应变传感器。另外电容式聚合物应变传感器，可以作为可穿戴设备贴合在人体关节处对人体运动时的运动姿态进行实时监测。</w:t>
            </w:r>
          </w:p>
        </w:tc>
        <w:tc>
          <w:tcPr>
            <w:tcW w:w="1365" w:type="dxa"/>
            <w:shd w:val="clear" w:color="auto" w:fill="auto"/>
            <w:noWrap w:val="0"/>
            <w:vAlign w:val="center"/>
          </w:tcPr>
          <w:p w14:paraId="0B47F447">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郭东杰，黄建建，张晓蝶，侯军伟，丁井鲜，李泳</w:t>
            </w:r>
          </w:p>
        </w:tc>
        <w:tc>
          <w:tcPr>
            <w:tcW w:w="1380" w:type="dxa"/>
            <w:shd w:val="clear" w:color="auto" w:fill="auto"/>
            <w:noWrap w:val="0"/>
            <w:vAlign w:val="center"/>
          </w:tcPr>
          <w:p w14:paraId="2EF51A79">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长期使用权（</w:t>
            </w:r>
            <w:r>
              <w:rPr>
                <w:rFonts w:hint="eastAsia" w:ascii="仿宋" w:hAnsi="仿宋" w:eastAsia="仿宋" w:cs="仿宋"/>
                <w:snapToGrid w:val="0"/>
                <w:color w:val="000000"/>
                <w:spacing w:val="-4"/>
                <w:kern w:val="0"/>
                <w:sz w:val="18"/>
                <w:szCs w:val="18"/>
                <w:lang w:val="en-US" w:eastAsia="zh-CN"/>
              </w:rPr>
              <w:t>10</w:t>
            </w:r>
            <w:r>
              <w:rPr>
                <w:rFonts w:hint="eastAsia" w:ascii="仿宋" w:hAnsi="仿宋" w:eastAsia="仿宋" w:cs="仿宋"/>
                <w:snapToGrid w:val="0"/>
                <w:color w:val="000000"/>
                <w:spacing w:val="-4"/>
                <w:kern w:val="0"/>
                <w:sz w:val="18"/>
                <w:szCs w:val="18"/>
              </w:rPr>
              <w:t>年）</w:t>
            </w:r>
          </w:p>
        </w:tc>
        <w:tc>
          <w:tcPr>
            <w:tcW w:w="1335" w:type="dxa"/>
            <w:shd w:val="clear" w:color="auto" w:fill="auto"/>
            <w:noWrap w:val="0"/>
            <w:vAlign w:val="center"/>
          </w:tcPr>
          <w:p w14:paraId="46D4B370">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sz w:val="18"/>
                <w:szCs w:val="18"/>
              </w:rPr>
            </w:pPr>
            <w:r>
              <w:rPr>
                <w:rFonts w:hint="eastAsia" w:ascii="仿宋" w:hAnsi="仿宋" w:eastAsia="仿宋" w:cs="仿宋"/>
                <w:sz w:val="18"/>
                <w:szCs w:val="18"/>
              </w:rPr>
              <w:t>技术许可</w:t>
            </w:r>
          </w:p>
          <w:p w14:paraId="60D14074">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kern w:val="2"/>
                <w:sz w:val="18"/>
                <w:szCs w:val="18"/>
                <w:lang w:val="en-US" w:eastAsia="zh-CN" w:bidi="ar-SA"/>
              </w:rPr>
            </w:pPr>
          </w:p>
        </w:tc>
        <w:tc>
          <w:tcPr>
            <w:tcW w:w="1114" w:type="dxa"/>
            <w:shd w:val="clear" w:color="auto" w:fill="auto"/>
            <w:noWrap w:val="0"/>
            <w:vAlign w:val="center"/>
          </w:tcPr>
          <w:p w14:paraId="7557F52E">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3.2</w:t>
            </w:r>
          </w:p>
        </w:tc>
        <w:tc>
          <w:tcPr>
            <w:tcW w:w="1285" w:type="dxa"/>
            <w:shd w:val="clear" w:color="auto" w:fill="auto"/>
            <w:noWrap w:val="0"/>
            <w:vAlign w:val="center"/>
          </w:tcPr>
          <w:p w14:paraId="5134C413">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snapToGrid w:val="0"/>
                <w:color w:val="000000"/>
                <w:spacing w:val="-3"/>
                <w:kern w:val="0"/>
                <w:sz w:val="18"/>
                <w:szCs w:val="18"/>
                <w:lang w:val="en-US" w:eastAsia="zh-CN" w:bidi="ar-SA"/>
              </w:rPr>
            </w:pPr>
            <w:r>
              <w:rPr>
                <w:rFonts w:hint="eastAsia" w:ascii="仿宋" w:hAnsi="仿宋" w:eastAsia="仿宋" w:cs="仿宋"/>
                <w:snapToGrid w:val="0"/>
                <w:color w:val="000000"/>
                <w:spacing w:val="-3"/>
                <w:kern w:val="0"/>
                <w:sz w:val="18"/>
                <w:szCs w:val="18"/>
              </w:rPr>
              <w:t>郑州欧姆康生物材料有限公司</w:t>
            </w:r>
          </w:p>
        </w:tc>
        <w:tc>
          <w:tcPr>
            <w:tcW w:w="786" w:type="dxa"/>
            <w:shd w:val="clear" w:color="auto" w:fill="auto"/>
            <w:noWrap w:val="0"/>
            <w:vAlign w:val="center"/>
          </w:tcPr>
          <w:p w14:paraId="5B7776C6">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r>
      <w:tr w14:paraId="24C08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18ED62FB">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5</w:t>
            </w:r>
          </w:p>
        </w:tc>
        <w:tc>
          <w:tcPr>
            <w:tcW w:w="1513" w:type="dxa"/>
            <w:shd w:val="clear" w:color="auto" w:fill="auto"/>
            <w:noWrap w:val="0"/>
            <w:vAlign w:val="center"/>
          </w:tcPr>
          <w:p w14:paraId="6ED591E7">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氰乙基纤维素-聚氯乙烯复合凝胶电致动器及其制备方法和应用</w:t>
            </w:r>
          </w:p>
        </w:tc>
        <w:tc>
          <w:tcPr>
            <w:tcW w:w="4515" w:type="dxa"/>
            <w:shd w:val="clear" w:color="auto" w:fill="auto"/>
            <w:noWrap w:val="0"/>
            <w:vAlign w:val="center"/>
          </w:tcPr>
          <w:p w14:paraId="465AB3F3">
            <w:pPr>
              <w:keepNext w:val="0"/>
              <w:keepLines w:val="0"/>
              <w:pageBreakBefore w:val="0"/>
              <w:suppressLineNumbers w:val="0"/>
              <w:kinsoku/>
              <w:wordWrap/>
              <w:overflowPunct/>
              <w:topLinePunct w:val="0"/>
              <w:autoSpaceDE/>
              <w:autoSpaceDN/>
              <w:bidi w:val="0"/>
              <w:adjustRightInd/>
              <w:spacing w:before="78"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本发明公开了一种氰乙基纤维素-聚氯乙烯复合凝胶电致动器及其制备方法,所述电致动器是由聚氯乙烯和氰乙基纤维素通过溶液共混法制备成复合凝胶,并在复合凝胶的两侧涂覆导电硅脂电极制备而成,利用下压弹簧作为预载荷,采用高压电源引入脉冲电信号,使该电致动器在电场下产生面外致动。本发明提出的氰乙基纤维素-聚氯乙烯复合凝胶的介电性能和力学性能得到显著改善,相比于纯PVC凝胶的介电常数得到大幅提升,有利于电致动器在低电压下的电致动性能,相比于纯PVC凝胶粘弹性降低,有利于电致动器的稳定性和快速回复能力。本发明提出的氰乙基纤维素-聚氯乙烯复合凝胶具有电容高、可拉伸、低模量的优点,可应用于高灵敏度位移传感器。</w:t>
            </w:r>
          </w:p>
        </w:tc>
        <w:tc>
          <w:tcPr>
            <w:tcW w:w="1365" w:type="dxa"/>
            <w:shd w:val="clear" w:color="auto" w:fill="auto"/>
            <w:noWrap w:val="0"/>
            <w:vAlign w:val="center"/>
          </w:tcPr>
          <w:p w14:paraId="5BD53456">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郭东杰，马丽，黄建建，郭得雨，郑勤议，孙景昱</w:t>
            </w:r>
          </w:p>
        </w:tc>
        <w:tc>
          <w:tcPr>
            <w:tcW w:w="1380" w:type="dxa"/>
            <w:shd w:val="clear" w:color="auto" w:fill="auto"/>
            <w:noWrap w:val="0"/>
            <w:vAlign w:val="center"/>
          </w:tcPr>
          <w:p w14:paraId="0A1A5C22">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长期使用权（</w:t>
            </w:r>
            <w:r>
              <w:rPr>
                <w:rFonts w:hint="eastAsia" w:ascii="仿宋" w:hAnsi="仿宋" w:eastAsia="仿宋" w:cs="仿宋"/>
                <w:snapToGrid w:val="0"/>
                <w:color w:val="000000"/>
                <w:spacing w:val="-4"/>
                <w:kern w:val="0"/>
                <w:sz w:val="18"/>
                <w:szCs w:val="18"/>
                <w:lang w:val="en-US" w:eastAsia="zh-CN"/>
              </w:rPr>
              <w:t>10</w:t>
            </w:r>
            <w:r>
              <w:rPr>
                <w:rFonts w:hint="eastAsia" w:ascii="仿宋" w:hAnsi="仿宋" w:eastAsia="仿宋" w:cs="仿宋"/>
                <w:snapToGrid w:val="0"/>
                <w:color w:val="000000"/>
                <w:spacing w:val="-4"/>
                <w:kern w:val="0"/>
                <w:sz w:val="18"/>
                <w:szCs w:val="18"/>
              </w:rPr>
              <w:t>年）</w:t>
            </w:r>
          </w:p>
        </w:tc>
        <w:tc>
          <w:tcPr>
            <w:tcW w:w="1335" w:type="dxa"/>
            <w:shd w:val="clear" w:color="auto" w:fill="auto"/>
            <w:noWrap w:val="0"/>
            <w:vAlign w:val="center"/>
          </w:tcPr>
          <w:p w14:paraId="4498E589">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sz w:val="18"/>
                <w:szCs w:val="18"/>
              </w:rPr>
            </w:pPr>
            <w:r>
              <w:rPr>
                <w:rFonts w:hint="eastAsia" w:ascii="仿宋" w:hAnsi="仿宋" w:eastAsia="仿宋" w:cs="仿宋"/>
                <w:sz w:val="18"/>
                <w:szCs w:val="18"/>
              </w:rPr>
              <w:t>技术许可</w:t>
            </w:r>
          </w:p>
          <w:p w14:paraId="0F53D340">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kern w:val="2"/>
                <w:sz w:val="18"/>
                <w:szCs w:val="18"/>
                <w:lang w:val="en-US" w:eastAsia="zh-CN" w:bidi="ar-SA"/>
              </w:rPr>
            </w:pPr>
          </w:p>
        </w:tc>
        <w:tc>
          <w:tcPr>
            <w:tcW w:w="1114" w:type="dxa"/>
            <w:shd w:val="clear" w:color="auto" w:fill="auto"/>
            <w:noWrap w:val="0"/>
            <w:vAlign w:val="center"/>
          </w:tcPr>
          <w:p w14:paraId="0C72C682">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3.2</w:t>
            </w:r>
          </w:p>
        </w:tc>
        <w:tc>
          <w:tcPr>
            <w:tcW w:w="1285" w:type="dxa"/>
            <w:shd w:val="clear" w:color="auto" w:fill="auto"/>
            <w:noWrap w:val="0"/>
            <w:vAlign w:val="center"/>
          </w:tcPr>
          <w:p w14:paraId="77574037">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snapToGrid w:val="0"/>
                <w:color w:val="000000"/>
                <w:spacing w:val="-3"/>
                <w:kern w:val="0"/>
                <w:sz w:val="18"/>
                <w:szCs w:val="18"/>
                <w:lang w:val="en-US" w:eastAsia="zh-CN" w:bidi="ar-SA"/>
              </w:rPr>
            </w:pPr>
            <w:r>
              <w:rPr>
                <w:rFonts w:hint="eastAsia" w:ascii="仿宋" w:hAnsi="仿宋" w:eastAsia="仿宋" w:cs="仿宋"/>
                <w:snapToGrid w:val="0"/>
                <w:color w:val="000000"/>
                <w:spacing w:val="-3"/>
                <w:kern w:val="0"/>
                <w:sz w:val="18"/>
                <w:szCs w:val="18"/>
              </w:rPr>
              <w:t>郑州欧姆康生物材料有限公司</w:t>
            </w:r>
          </w:p>
        </w:tc>
        <w:tc>
          <w:tcPr>
            <w:tcW w:w="786" w:type="dxa"/>
            <w:shd w:val="clear" w:color="auto" w:fill="auto"/>
            <w:noWrap w:val="0"/>
            <w:vAlign w:val="center"/>
          </w:tcPr>
          <w:p w14:paraId="3F16AAAF">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r>
      <w:tr w14:paraId="672C5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50F53197">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6</w:t>
            </w:r>
          </w:p>
        </w:tc>
        <w:tc>
          <w:tcPr>
            <w:tcW w:w="1513" w:type="dxa"/>
            <w:shd w:val="clear" w:color="auto" w:fill="auto"/>
            <w:noWrap w:val="0"/>
            <w:vAlign w:val="center"/>
          </w:tcPr>
          <w:p w14:paraId="3A5C325A">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电场感应驱动的离子型电活性聚合物的制备方法和应用</w:t>
            </w:r>
          </w:p>
        </w:tc>
        <w:tc>
          <w:tcPr>
            <w:tcW w:w="4515" w:type="dxa"/>
            <w:shd w:val="clear" w:color="auto" w:fill="auto"/>
            <w:noWrap w:val="0"/>
            <w:vAlign w:val="center"/>
          </w:tcPr>
          <w:p w14:paraId="19B7651E">
            <w:pPr>
              <w:keepNext w:val="0"/>
              <w:keepLines w:val="0"/>
              <w:pageBreakBefore w:val="0"/>
              <w:suppressLineNumbers w:val="0"/>
              <w:kinsoku/>
              <w:wordWrap/>
              <w:overflowPunct/>
              <w:topLinePunct w:val="0"/>
              <w:autoSpaceDE/>
              <w:autoSpaceDN/>
              <w:bidi w:val="0"/>
              <w:adjustRightInd/>
              <w:spacing w:before="78"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本发明公开了一种电场感应驱动的离子型电活性聚合物的制备方法和应用,所述电场感应驱动的离子型电活性聚合物利用相交换法制备出高度多孔的PVDF膜,然后将多孔的PVDF膜浸泡在电解质溶液中吸附阴阳离子用于作为电场感应驱动的离子型电活性聚合物。该电场感应驱动的离子型电活性聚合物无需电极而不存在电极疲劳问题,并且在电场中利用离子浓度梯度和电场力的双重作用驱使致动,在电压为1～10 kV,频率为0.1～10 Hz的电场中能够快速产生1～60°的偏转。以电场感应驱动的离子型电活性聚合物控制VR手套的抓、握、释放等动作,实现聚合物对人手的力反馈,结合VR的视、听觉反馈,完善人机触觉互动的多感官效果。</w:t>
            </w:r>
          </w:p>
        </w:tc>
        <w:tc>
          <w:tcPr>
            <w:tcW w:w="1365" w:type="dxa"/>
            <w:shd w:val="clear" w:color="auto" w:fill="auto"/>
            <w:noWrap w:val="0"/>
            <w:vAlign w:val="center"/>
          </w:tcPr>
          <w:p w14:paraId="27813E97">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郭东杰，黄建建，马丽，张伟，李梦辛，骆正强</w:t>
            </w:r>
          </w:p>
        </w:tc>
        <w:tc>
          <w:tcPr>
            <w:tcW w:w="1380" w:type="dxa"/>
            <w:shd w:val="clear" w:color="auto" w:fill="auto"/>
            <w:noWrap w:val="0"/>
            <w:vAlign w:val="center"/>
          </w:tcPr>
          <w:p w14:paraId="626EACB9">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长期使用权（</w:t>
            </w:r>
            <w:r>
              <w:rPr>
                <w:rFonts w:hint="eastAsia" w:ascii="仿宋" w:hAnsi="仿宋" w:eastAsia="仿宋" w:cs="仿宋"/>
                <w:snapToGrid w:val="0"/>
                <w:color w:val="000000"/>
                <w:spacing w:val="-4"/>
                <w:kern w:val="0"/>
                <w:sz w:val="18"/>
                <w:szCs w:val="18"/>
                <w:lang w:val="en-US" w:eastAsia="zh-CN"/>
              </w:rPr>
              <w:t>10</w:t>
            </w:r>
            <w:r>
              <w:rPr>
                <w:rFonts w:hint="eastAsia" w:ascii="仿宋" w:hAnsi="仿宋" w:eastAsia="仿宋" w:cs="仿宋"/>
                <w:snapToGrid w:val="0"/>
                <w:color w:val="000000"/>
                <w:spacing w:val="-4"/>
                <w:kern w:val="0"/>
                <w:sz w:val="18"/>
                <w:szCs w:val="18"/>
              </w:rPr>
              <w:t>年）</w:t>
            </w:r>
          </w:p>
        </w:tc>
        <w:tc>
          <w:tcPr>
            <w:tcW w:w="1335" w:type="dxa"/>
            <w:shd w:val="clear" w:color="auto" w:fill="auto"/>
            <w:noWrap w:val="0"/>
            <w:vAlign w:val="center"/>
          </w:tcPr>
          <w:p w14:paraId="0EEA58A1">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sz w:val="18"/>
                <w:szCs w:val="18"/>
              </w:rPr>
            </w:pPr>
            <w:r>
              <w:rPr>
                <w:rFonts w:hint="eastAsia" w:ascii="仿宋" w:hAnsi="仿宋" w:eastAsia="仿宋" w:cs="仿宋"/>
                <w:sz w:val="18"/>
                <w:szCs w:val="18"/>
              </w:rPr>
              <w:t>技术许可</w:t>
            </w:r>
          </w:p>
          <w:p w14:paraId="5733B674">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kern w:val="2"/>
                <w:sz w:val="18"/>
                <w:szCs w:val="18"/>
                <w:lang w:val="en-US" w:eastAsia="zh-CN" w:bidi="ar-SA"/>
              </w:rPr>
            </w:pPr>
          </w:p>
        </w:tc>
        <w:tc>
          <w:tcPr>
            <w:tcW w:w="1114" w:type="dxa"/>
            <w:shd w:val="clear" w:color="auto" w:fill="auto"/>
            <w:noWrap w:val="0"/>
            <w:vAlign w:val="center"/>
          </w:tcPr>
          <w:p w14:paraId="7631064F">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3.2</w:t>
            </w:r>
          </w:p>
        </w:tc>
        <w:tc>
          <w:tcPr>
            <w:tcW w:w="1285" w:type="dxa"/>
            <w:shd w:val="clear" w:color="auto" w:fill="auto"/>
            <w:noWrap w:val="0"/>
            <w:vAlign w:val="center"/>
          </w:tcPr>
          <w:p w14:paraId="7336AAB4">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snapToGrid w:val="0"/>
                <w:color w:val="000000"/>
                <w:spacing w:val="-3"/>
                <w:kern w:val="0"/>
                <w:sz w:val="18"/>
                <w:szCs w:val="18"/>
                <w:lang w:val="en-US" w:eastAsia="zh-CN" w:bidi="ar-SA"/>
              </w:rPr>
            </w:pPr>
            <w:r>
              <w:rPr>
                <w:rFonts w:hint="eastAsia" w:ascii="仿宋" w:hAnsi="仿宋" w:eastAsia="仿宋" w:cs="仿宋"/>
                <w:snapToGrid w:val="0"/>
                <w:color w:val="000000"/>
                <w:spacing w:val="-3"/>
                <w:kern w:val="0"/>
                <w:sz w:val="18"/>
                <w:szCs w:val="18"/>
              </w:rPr>
              <w:t>郑州欧姆康生物材料有限公司</w:t>
            </w:r>
          </w:p>
        </w:tc>
        <w:tc>
          <w:tcPr>
            <w:tcW w:w="786" w:type="dxa"/>
            <w:shd w:val="clear" w:color="auto" w:fill="auto"/>
            <w:noWrap w:val="0"/>
            <w:vAlign w:val="center"/>
          </w:tcPr>
          <w:p w14:paraId="291D28F7">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r>
      <w:tr w14:paraId="05D35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213041AD">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7</w:t>
            </w:r>
          </w:p>
        </w:tc>
        <w:tc>
          <w:tcPr>
            <w:tcW w:w="1513" w:type="dxa"/>
            <w:shd w:val="clear" w:color="auto" w:fill="auto"/>
            <w:noWrap w:val="0"/>
            <w:vAlign w:val="center"/>
          </w:tcPr>
          <w:p w14:paraId="7A0AE1FB">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电磁力诱导绝缘弹性体电制动器面外制动的装置及方法</w:t>
            </w:r>
          </w:p>
        </w:tc>
        <w:tc>
          <w:tcPr>
            <w:tcW w:w="4515" w:type="dxa"/>
            <w:shd w:val="clear" w:color="auto" w:fill="auto"/>
            <w:noWrap w:val="0"/>
            <w:vAlign w:val="center"/>
          </w:tcPr>
          <w:p w14:paraId="0916E5AB">
            <w:pPr>
              <w:keepNext w:val="0"/>
              <w:keepLines w:val="0"/>
              <w:pageBreakBefore w:val="0"/>
              <w:suppressLineNumbers w:val="0"/>
              <w:kinsoku/>
              <w:wordWrap/>
              <w:overflowPunct/>
              <w:topLinePunct w:val="0"/>
              <w:autoSpaceDE/>
              <w:autoSpaceDN/>
              <w:bidi w:val="0"/>
              <w:adjustRightInd/>
              <w:spacing w:before="78"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本发明公开了一种电磁力诱导绝缘弹性体电制动器面外制动的装置及方法,包括不对称电极介电弹性体、不对称电极介电弹性体的上表面与连接器固定连接,不对称电极介电弹性体的下表面与软磁铁固定连接,所述不对称电极介电弹性体固定在框架内,不对称电极介电弹性体下方设有电磁铁。使用电磁铁对不对称电极介电弹性体施加预应力并对不对称电极介电弹性体施加高压脉冲信号,电磁铁提供预应力的周期与高压脉冲信号的周期一致,从而实现了介电弹性体的面外制动。本发明在介电弹性体基膜两侧制备具有不同模量的柔性电极,可在高压电场的作用下实现面外制动。通过使用控制简单、响应迅速、非接触等优点的电磁力可以提升面外制动的位移。</w:t>
            </w:r>
          </w:p>
        </w:tc>
        <w:tc>
          <w:tcPr>
            <w:tcW w:w="1365" w:type="dxa"/>
            <w:shd w:val="clear" w:color="auto" w:fill="auto"/>
            <w:noWrap w:val="0"/>
            <w:vAlign w:val="center"/>
          </w:tcPr>
          <w:p w14:paraId="6525F3B9">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郭东杰，王龙，马丽，黄建建，张晓蝶，郭得雨</w:t>
            </w:r>
          </w:p>
        </w:tc>
        <w:tc>
          <w:tcPr>
            <w:tcW w:w="1380" w:type="dxa"/>
            <w:shd w:val="clear" w:color="auto" w:fill="auto"/>
            <w:noWrap w:val="0"/>
            <w:vAlign w:val="center"/>
          </w:tcPr>
          <w:p w14:paraId="2DC4670B">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长期使用权（</w:t>
            </w:r>
            <w:r>
              <w:rPr>
                <w:rFonts w:hint="eastAsia" w:ascii="仿宋" w:hAnsi="仿宋" w:eastAsia="仿宋" w:cs="仿宋"/>
                <w:snapToGrid w:val="0"/>
                <w:color w:val="000000"/>
                <w:spacing w:val="-4"/>
                <w:kern w:val="0"/>
                <w:sz w:val="18"/>
                <w:szCs w:val="18"/>
                <w:lang w:val="en-US" w:eastAsia="zh-CN"/>
              </w:rPr>
              <w:t>10</w:t>
            </w:r>
            <w:r>
              <w:rPr>
                <w:rFonts w:hint="eastAsia" w:ascii="仿宋" w:hAnsi="仿宋" w:eastAsia="仿宋" w:cs="仿宋"/>
                <w:snapToGrid w:val="0"/>
                <w:color w:val="000000"/>
                <w:spacing w:val="-4"/>
                <w:kern w:val="0"/>
                <w:sz w:val="18"/>
                <w:szCs w:val="18"/>
              </w:rPr>
              <w:t>年）</w:t>
            </w:r>
          </w:p>
        </w:tc>
        <w:tc>
          <w:tcPr>
            <w:tcW w:w="1335" w:type="dxa"/>
            <w:shd w:val="clear" w:color="auto" w:fill="auto"/>
            <w:noWrap w:val="0"/>
            <w:vAlign w:val="center"/>
          </w:tcPr>
          <w:p w14:paraId="3CEB344A">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sz w:val="18"/>
                <w:szCs w:val="18"/>
              </w:rPr>
            </w:pPr>
            <w:r>
              <w:rPr>
                <w:rFonts w:hint="eastAsia" w:ascii="仿宋" w:hAnsi="仿宋" w:eastAsia="仿宋" w:cs="仿宋"/>
                <w:sz w:val="18"/>
                <w:szCs w:val="18"/>
              </w:rPr>
              <w:t>技术许可</w:t>
            </w:r>
          </w:p>
          <w:p w14:paraId="6678A5C2">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kern w:val="2"/>
                <w:sz w:val="18"/>
                <w:szCs w:val="18"/>
                <w:lang w:val="en-US" w:eastAsia="zh-CN" w:bidi="ar-SA"/>
              </w:rPr>
            </w:pPr>
          </w:p>
        </w:tc>
        <w:tc>
          <w:tcPr>
            <w:tcW w:w="1114" w:type="dxa"/>
            <w:shd w:val="clear" w:color="auto" w:fill="auto"/>
            <w:noWrap w:val="0"/>
            <w:vAlign w:val="center"/>
          </w:tcPr>
          <w:p w14:paraId="39B4A436">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3.2</w:t>
            </w:r>
          </w:p>
        </w:tc>
        <w:tc>
          <w:tcPr>
            <w:tcW w:w="1285" w:type="dxa"/>
            <w:shd w:val="clear" w:color="auto" w:fill="auto"/>
            <w:noWrap w:val="0"/>
            <w:vAlign w:val="center"/>
          </w:tcPr>
          <w:p w14:paraId="6CA00463">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snapToGrid w:val="0"/>
                <w:color w:val="000000"/>
                <w:spacing w:val="-3"/>
                <w:kern w:val="0"/>
                <w:sz w:val="18"/>
                <w:szCs w:val="18"/>
                <w:lang w:val="en-US" w:eastAsia="zh-CN" w:bidi="ar-SA"/>
              </w:rPr>
            </w:pPr>
            <w:r>
              <w:rPr>
                <w:rFonts w:hint="eastAsia" w:ascii="仿宋" w:hAnsi="仿宋" w:eastAsia="仿宋" w:cs="仿宋"/>
                <w:snapToGrid w:val="0"/>
                <w:color w:val="000000"/>
                <w:spacing w:val="-3"/>
                <w:kern w:val="0"/>
                <w:sz w:val="18"/>
                <w:szCs w:val="18"/>
              </w:rPr>
              <w:t>郑州欧姆康生物材料有限公司</w:t>
            </w:r>
          </w:p>
        </w:tc>
        <w:tc>
          <w:tcPr>
            <w:tcW w:w="786" w:type="dxa"/>
            <w:shd w:val="clear" w:color="auto" w:fill="auto"/>
            <w:noWrap w:val="0"/>
            <w:vAlign w:val="center"/>
          </w:tcPr>
          <w:p w14:paraId="5E4A690B">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r>
      <w:tr w14:paraId="33201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68E364B8">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8</w:t>
            </w:r>
          </w:p>
        </w:tc>
        <w:tc>
          <w:tcPr>
            <w:tcW w:w="1513" w:type="dxa"/>
            <w:shd w:val="clear" w:color="auto" w:fill="auto"/>
            <w:noWrap w:val="0"/>
            <w:vAlign w:val="center"/>
          </w:tcPr>
          <w:p w14:paraId="76F8A03A">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带有腰部支撑功能的辅助站立小车</w:t>
            </w:r>
          </w:p>
        </w:tc>
        <w:tc>
          <w:tcPr>
            <w:tcW w:w="4515" w:type="dxa"/>
            <w:shd w:val="clear" w:color="auto" w:fill="auto"/>
            <w:noWrap w:val="0"/>
            <w:vAlign w:val="center"/>
          </w:tcPr>
          <w:p w14:paraId="29D78608">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本发明涉及一种带有腰部支撑功能的辅助站立小车，本发明能够辅助行动能力弱的老年人站立和移动，满足老年人进行室内外活动和身体锻炼的需求，从而减轻护理人员或者家人的劳动量，提高老年人的生活自理能力和生活质量。</w:t>
            </w:r>
          </w:p>
        </w:tc>
        <w:tc>
          <w:tcPr>
            <w:tcW w:w="1365" w:type="dxa"/>
            <w:shd w:val="clear" w:color="auto" w:fill="auto"/>
            <w:noWrap w:val="0"/>
            <w:vAlign w:val="center"/>
          </w:tcPr>
          <w:p w14:paraId="577F3C58">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李安生；武丰龙；高辉；郭志强；章文俊；刘衡；贾文豪；于谦；胡鹏杰</w:t>
            </w:r>
          </w:p>
        </w:tc>
        <w:tc>
          <w:tcPr>
            <w:tcW w:w="1380" w:type="dxa"/>
            <w:shd w:val="clear" w:color="auto" w:fill="auto"/>
            <w:noWrap w:val="0"/>
            <w:vAlign w:val="center"/>
          </w:tcPr>
          <w:p w14:paraId="0B2B8F7B">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长期使用权（10年）</w:t>
            </w:r>
          </w:p>
        </w:tc>
        <w:tc>
          <w:tcPr>
            <w:tcW w:w="1335" w:type="dxa"/>
            <w:shd w:val="clear" w:color="auto" w:fill="auto"/>
            <w:noWrap w:val="0"/>
            <w:vAlign w:val="center"/>
          </w:tcPr>
          <w:p w14:paraId="335BC6BD">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技术许可</w:t>
            </w:r>
          </w:p>
        </w:tc>
        <w:tc>
          <w:tcPr>
            <w:tcW w:w="1114" w:type="dxa"/>
            <w:shd w:val="clear" w:color="auto" w:fill="auto"/>
            <w:noWrap w:val="0"/>
            <w:vAlign w:val="center"/>
          </w:tcPr>
          <w:p w14:paraId="0A5F248D">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3万元</w:t>
            </w:r>
          </w:p>
        </w:tc>
        <w:tc>
          <w:tcPr>
            <w:tcW w:w="1285" w:type="dxa"/>
            <w:shd w:val="clear" w:color="auto" w:fill="auto"/>
            <w:noWrap w:val="0"/>
            <w:vAlign w:val="center"/>
          </w:tcPr>
          <w:p w14:paraId="63E25834">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河南郑大水利科技有限公司</w:t>
            </w:r>
          </w:p>
        </w:tc>
        <w:tc>
          <w:tcPr>
            <w:tcW w:w="786" w:type="dxa"/>
            <w:shd w:val="clear" w:color="auto" w:fill="auto"/>
            <w:noWrap w:val="0"/>
            <w:vAlign w:val="center"/>
          </w:tcPr>
          <w:p w14:paraId="74B66F43">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r>
      <w:tr w14:paraId="18EA8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1EB38B04">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9</w:t>
            </w:r>
          </w:p>
        </w:tc>
        <w:tc>
          <w:tcPr>
            <w:tcW w:w="1513" w:type="dxa"/>
            <w:shd w:val="clear" w:color="auto" w:fill="auto"/>
            <w:noWrap w:val="0"/>
            <w:vAlign w:val="center"/>
          </w:tcPr>
          <w:p w14:paraId="1086CD33">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带有组合式座板的辅助站立小车</w:t>
            </w:r>
          </w:p>
        </w:tc>
        <w:tc>
          <w:tcPr>
            <w:tcW w:w="4515" w:type="dxa"/>
            <w:shd w:val="clear" w:color="auto" w:fill="auto"/>
            <w:noWrap w:val="0"/>
            <w:vAlign w:val="center"/>
          </w:tcPr>
          <w:p w14:paraId="15E21B61">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本发明涉及一种带有组合式座板的辅助站立小车，能够辅助行动能力弱的老年人站立和移动，满足老年人进行室内外活动和身体锻炼的需求，从而减轻护理人员或者家人的劳动量，提高老年人的生活自理能力和生活质量。</w:t>
            </w:r>
          </w:p>
        </w:tc>
        <w:tc>
          <w:tcPr>
            <w:tcW w:w="1365" w:type="dxa"/>
            <w:shd w:val="clear" w:color="auto" w:fill="auto"/>
            <w:noWrap w:val="0"/>
            <w:vAlign w:val="center"/>
          </w:tcPr>
          <w:p w14:paraId="65735C7B">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李安生；姬鹏先；沈晓滨；李彦彦；章文俊；刘衡；贾文豪；于谦；侯绪坤</w:t>
            </w:r>
          </w:p>
        </w:tc>
        <w:tc>
          <w:tcPr>
            <w:tcW w:w="1380" w:type="dxa"/>
            <w:shd w:val="clear" w:color="auto" w:fill="auto"/>
            <w:noWrap w:val="0"/>
            <w:vAlign w:val="center"/>
          </w:tcPr>
          <w:p w14:paraId="62072192">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长期使用权（10年）</w:t>
            </w:r>
          </w:p>
        </w:tc>
        <w:tc>
          <w:tcPr>
            <w:tcW w:w="1335" w:type="dxa"/>
            <w:shd w:val="clear" w:color="auto" w:fill="auto"/>
            <w:noWrap w:val="0"/>
            <w:vAlign w:val="center"/>
          </w:tcPr>
          <w:p w14:paraId="7FC607A4">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技术许可</w:t>
            </w:r>
          </w:p>
        </w:tc>
        <w:tc>
          <w:tcPr>
            <w:tcW w:w="1114" w:type="dxa"/>
            <w:shd w:val="clear" w:color="auto" w:fill="auto"/>
            <w:noWrap w:val="0"/>
            <w:vAlign w:val="center"/>
          </w:tcPr>
          <w:p w14:paraId="4E6A90ED">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3万元</w:t>
            </w:r>
          </w:p>
        </w:tc>
        <w:tc>
          <w:tcPr>
            <w:tcW w:w="1285" w:type="dxa"/>
            <w:shd w:val="clear" w:color="auto" w:fill="auto"/>
            <w:noWrap w:val="0"/>
            <w:vAlign w:val="center"/>
          </w:tcPr>
          <w:p w14:paraId="6A129A63">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河南郑大水利科技有限公司</w:t>
            </w:r>
          </w:p>
        </w:tc>
        <w:tc>
          <w:tcPr>
            <w:tcW w:w="786" w:type="dxa"/>
            <w:shd w:val="clear" w:color="auto" w:fill="auto"/>
            <w:noWrap w:val="0"/>
            <w:vAlign w:val="center"/>
          </w:tcPr>
          <w:p w14:paraId="43B194C9">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r>
      <w:tr w14:paraId="63955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127F1BE5">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10</w:t>
            </w:r>
          </w:p>
        </w:tc>
        <w:tc>
          <w:tcPr>
            <w:tcW w:w="1513" w:type="dxa"/>
            <w:shd w:val="clear" w:color="auto" w:fill="auto"/>
            <w:noWrap w:val="0"/>
            <w:vAlign w:val="center"/>
          </w:tcPr>
          <w:p w14:paraId="196F7AC5">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助老辅助站立轮椅</w:t>
            </w:r>
          </w:p>
        </w:tc>
        <w:tc>
          <w:tcPr>
            <w:tcW w:w="4515" w:type="dxa"/>
            <w:shd w:val="clear" w:color="auto" w:fill="auto"/>
            <w:noWrap w:val="0"/>
            <w:vAlign w:val="center"/>
          </w:tcPr>
          <w:p w14:paraId="53B9812E">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本发明涉及一种助老辅助站立轮椅，该轮椅包括椅架、安装在椅架左右两侧的辅助支撑机构和脚踏辅助机构，当老人想起身站立离开轮椅时，电机转动使两驱动块向中间收缩使顶板升高，顶板升高的同时通过联动拉杆带动支撑座板后端向上扬起，从而辅助老人从坐姿逐渐转变成站姿，进而帮助老人起身站立离开轮椅，方便实用、安全可靠。</w:t>
            </w:r>
          </w:p>
        </w:tc>
        <w:tc>
          <w:tcPr>
            <w:tcW w:w="1365" w:type="dxa"/>
            <w:shd w:val="clear" w:color="auto" w:fill="auto"/>
            <w:noWrap w:val="0"/>
            <w:vAlign w:val="center"/>
          </w:tcPr>
          <w:p w14:paraId="4204DEAE">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李安生；郭志强；杜文辽；李彦彦；费贺勇；李宏伟；庞家玲；汤雅坤；何昆；张天胤；侯绪坤</w:t>
            </w:r>
          </w:p>
        </w:tc>
        <w:tc>
          <w:tcPr>
            <w:tcW w:w="1380" w:type="dxa"/>
            <w:shd w:val="clear" w:color="auto" w:fill="auto"/>
            <w:noWrap w:val="0"/>
            <w:vAlign w:val="center"/>
          </w:tcPr>
          <w:p w14:paraId="64D8AE18">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长期使用权（10年）</w:t>
            </w:r>
          </w:p>
        </w:tc>
        <w:tc>
          <w:tcPr>
            <w:tcW w:w="1335" w:type="dxa"/>
            <w:shd w:val="clear" w:color="auto" w:fill="auto"/>
            <w:noWrap w:val="0"/>
            <w:vAlign w:val="center"/>
          </w:tcPr>
          <w:p w14:paraId="43DF9643">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技术许可</w:t>
            </w:r>
          </w:p>
        </w:tc>
        <w:tc>
          <w:tcPr>
            <w:tcW w:w="1114" w:type="dxa"/>
            <w:shd w:val="clear" w:color="auto" w:fill="auto"/>
            <w:noWrap w:val="0"/>
            <w:vAlign w:val="center"/>
          </w:tcPr>
          <w:p w14:paraId="5E47B2EB">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3万元</w:t>
            </w:r>
          </w:p>
        </w:tc>
        <w:tc>
          <w:tcPr>
            <w:tcW w:w="1285" w:type="dxa"/>
            <w:shd w:val="clear" w:color="auto" w:fill="auto"/>
            <w:noWrap w:val="0"/>
            <w:vAlign w:val="center"/>
          </w:tcPr>
          <w:p w14:paraId="24DDE6CF">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河南郑大水利科技有限公司</w:t>
            </w:r>
          </w:p>
        </w:tc>
        <w:tc>
          <w:tcPr>
            <w:tcW w:w="786" w:type="dxa"/>
            <w:shd w:val="clear" w:color="auto" w:fill="auto"/>
            <w:noWrap w:val="0"/>
            <w:vAlign w:val="center"/>
          </w:tcPr>
          <w:p w14:paraId="3D2FFDB7">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r>
      <w:tr w14:paraId="5DA08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14FF5138">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11</w:t>
            </w:r>
          </w:p>
        </w:tc>
        <w:tc>
          <w:tcPr>
            <w:tcW w:w="1513" w:type="dxa"/>
            <w:shd w:val="clear" w:color="auto" w:fill="auto"/>
            <w:noWrap w:val="0"/>
            <w:vAlign w:val="center"/>
          </w:tcPr>
          <w:p w14:paraId="4D5F360E">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凸轮-连杆机构的草莓采摘装置</w:t>
            </w:r>
          </w:p>
        </w:tc>
        <w:tc>
          <w:tcPr>
            <w:tcW w:w="4515" w:type="dxa"/>
            <w:shd w:val="clear" w:color="auto" w:fill="auto"/>
            <w:noWrap w:val="0"/>
            <w:vAlign w:val="center"/>
          </w:tcPr>
          <w:p w14:paraId="3573EFA1">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本发明涉及一种凸轮‑连杆机构的草莓采摘装置，当夹紧块靠近承刀板并夹住草莓茎部的时候，此时凹槽式凸轮继续转动，切刀就会继续前进并将草莓的茎部切断，电机继续转动，凹槽式凸轮带动切刀和夹紧块反向移动然后继续重复上述过程。该装置可以减轻劳动者的工作强度，制作成本低，适合中国绝大部分的草莓种植户的使用，具有实际应用价值。</w:t>
            </w:r>
          </w:p>
        </w:tc>
        <w:tc>
          <w:tcPr>
            <w:tcW w:w="1365" w:type="dxa"/>
            <w:shd w:val="clear" w:color="auto" w:fill="auto"/>
            <w:noWrap w:val="0"/>
            <w:vAlign w:val="center"/>
          </w:tcPr>
          <w:p w14:paraId="6B7AB161">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李安生；郭志强；武丰龙；李医中；王良文；王广雷；刘建铭；姜东宁；许玉杰；李疑；何昆</w:t>
            </w:r>
          </w:p>
        </w:tc>
        <w:tc>
          <w:tcPr>
            <w:tcW w:w="1380" w:type="dxa"/>
            <w:shd w:val="clear" w:color="auto" w:fill="auto"/>
            <w:noWrap w:val="0"/>
            <w:vAlign w:val="center"/>
          </w:tcPr>
          <w:p w14:paraId="2391B6A9">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长期使用权（10年）</w:t>
            </w:r>
          </w:p>
        </w:tc>
        <w:tc>
          <w:tcPr>
            <w:tcW w:w="1335" w:type="dxa"/>
            <w:shd w:val="clear" w:color="auto" w:fill="auto"/>
            <w:noWrap w:val="0"/>
            <w:vAlign w:val="center"/>
          </w:tcPr>
          <w:p w14:paraId="28F23392">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技术许可</w:t>
            </w:r>
          </w:p>
        </w:tc>
        <w:tc>
          <w:tcPr>
            <w:tcW w:w="1114" w:type="dxa"/>
            <w:shd w:val="clear" w:color="auto" w:fill="auto"/>
            <w:noWrap w:val="0"/>
            <w:vAlign w:val="center"/>
          </w:tcPr>
          <w:p w14:paraId="1EF8BB9F">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3万元</w:t>
            </w:r>
          </w:p>
        </w:tc>
        <w:tc>
          <w:tcPr>
            <w:tcW w:w="1285" w:type="dxa"/>
            <w:shd w:val="clear" w:color="auto" w:fill="auto"/>
            <w:noWrap w:val="0"/>
            <w:vAlign w:val="center"/>
          </w:tcPr>
          <w:p w14:paraId="6F60FE0A">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河南郑大水利科技有限公司</w:t>
            </w:r>
          </w:p>
        </w:tc>
        <w:tc>
          <w:tcPr>
            <w:tcW w:w="786" w:type="dxa"/>
            <w:shd w:val="clear" w:color="auto" w:fill="auto"/>
            <w:noWrap w:val="0"/>
            <w:vAlign w:val="center"/>
          </w:tcPr>
          <w:p w14:paraId="5527224B">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r>
      <w:tr w14:paraId="61E61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73212907">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12</w:t>
            </w:r>
          </w:p>
        </w:tc>
        <w:tc>
          <w:tcPr>
            <w:tcW w:w="1513" w:type="dxa"/>
            <w:shd w:val="clear" w:color="auto" w:fill="auto"/>
            <w:noWrap w:val="0"/>
            <w:vAlign w:val="center"/>
          </w:tcPr>
          <w:p w14:paraId="5E7BF432">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基于蜗杆传动的自动伸缩顶枝苹果采摘装置</w:t>
            </w:r>
          </w:p>
        </w:tc>
        <w:tc>
          <w:tcPr>
            <w:tcW w:w="4515" w:type="dxa"/>
            <w:shd w:val="clear" w:color="auto" w:fill="auto"/>
            <w:noWrap w:val="0"/>
            <w:vAlign w:val="center"/>
          </w:tcPr>
          <w:p w14:paraId="4DB26961">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本发明涉及一种基于蜗杆传动的自动伸缩顶枝苹果采摘装置，该装置包括伸缩机构、剪切机构和辅助支撑背带，升降电机通过蜗杆驱动伸缩杆实现该装置的升降以适应采摘不同高度的苹果，从而节省体力便于长时间采摘，本发明结构简单操作方便，能够连续采摘且可用于多种不同的顶枝水果的采摘。</w:t>
            </w:r>
          </w:p>
        </w:tc>
        <w:tc>
          <w:tcPr>
            <w:tcW w:w="1365" w:type="dxa"/>
            <w:shd w:val="clear" w:color="auto" w:fill="auto"/>
            <w:noWrap w:val="0"/>
            <w:vAlign w:val="center"/>
          </w:tcPr>
          <w:p w14:paraId="6B2C4077">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李安生；李彦彦；张志刚；吴占超；谢宛余；屈明强；张柳；杜文辽；唐锦林；曹帅杰；张旭娟；朱旭阳</w:t>
            </w:r>
          </w:p>
        </w:tc>
        <w:tc>
          <w:tcPr>
            <w:tcW w:w="1380" w:type="dxa"/>
            <w:shd w:val="clear" w:color="auto" w:fill="auto"/>
            <w:noWrap w:val="0"/>
            <w:vAlign w:val="center"/>
          </w:tcPr>
          <w:p w14:paraId="7C9045E8">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长期使用权（10年）</w:t>
            </w:r>
          </w:p>
        </w:tc>
        <w:tc>
          <w:tcPr>
            <w:tcW w:w="1335" w:type="dxa"/>
            <w:shd w:val="clear" w:color="auto" w:fill="auto"/>
            <w:noWrap w:val="0"/>
            <w:vAlign w:val="center"/>
          </w:tcPr>
          <w:p w14:paraId="4734A254">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技术许可</w:t>
            </w:r>
          </w:p>
        </w:tc>
        <w:tc>
          <w:tcPr>
            <w:tcW w:w="1114" w:type="dxa"/>
            <w:shd w:val="clear" w:color="auto" w:fill="auto"/>
            <w:noWrap w:val="0"/>
            <w:vAlign w:val="center"/>
          </w:tcPr>
          <w:p w14:paraId="200719DD">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3万元</w:t>
            </w:r>
          </w:p>
        </w:tc>
        <w:tc>
          <w:tcPr>
            <w:tcW w:w="1285" w:type="dxa"/>
            <w:shd w:val="clear" w:color="auto" w:fill="auto"/>
            <w:noWrap w:val="0"/>
            <w:vAlign w:val="center"/>
          </w:tcPr>
          <w:p w14:paraId="65D66F55">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河南郑大水利科技有限公司</w:t>
            </w:r>
          </w:p>
        </w:tc>
        <w:tc>
          <w:tcPr>
            <w:tcW w:w="786" w:type="dxa"/>
            <w:shd w:val="clear" w:color="auto" w:fill="auto"/>
            <w:noWrap w:val="0"/>
            <w:vAlign w:val="center"/>
          </w:tcPr>
          <w:p w14:paraId="35A58C96">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r>
      <w:tr w14:paraId="3161E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3F186B8D">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13</w:t>
            </w:r>
          </w:p>
        </w:tc>
        <w:tc>
          <w:tcPr>
            <w:tcW w:w="1513" w:type="dxa"/>
            <w:shd w:val="clear" w:color="auto" w:fill="auto"/>
            <w:noWrap w:val="0"/>
            <w:vAlign w:val="center"/>
          </w:tcPr>
          <w:p w14:paraId="372B607C">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一种高结晶普鲁士蓝类似物材料及其制备方法和应用</w:t>
            </w:r>
          </w:p>
        </w:tc>
        <w:tc>
          <w:tcPr>
            <w:tcW w:w="4515" w:type="dxa"/>
            <w:shd w:val="clear" w:color="auto" w:fill="auto"/>
            <w:noWrap w:val="0"/>
            <w:vAlign w:val="center"/>
          </w:tcPr>
          <w:p w14:paraId="4DA0C25A">
            <w:pPr>
              <w:keepNext w:val="0"/>
              <w:keepLines w:val="0"/>
              <w:pageBreakBefore w:val="0"/>
              <w:suppressLineNumbers w:val="0"/>
              <w:kinsoku/>
              <w:wordWrap/>
              <w:overflowPunct/>
              <w:topLinePunct w:val="0"/>
              <w:autoSpaceDE/>
              <w:autoSpaceDN/>
              <w:bidi w:val="0"/>
              <w:adjustRightInd/>
              <w:spacing w:before="78"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本发明通过缓冲溶液来控制调节反应pH值，加入VC来保护Fe2+不被氧化，制得结晶度高的菱方晶系普鲁士蓝类似物材料同时，由于缓冲溶液的缓冲作用，可以为反应中亚铁氰化钠的分解提供足够的氢离子；又由于缓冲溶液酸性不强，有利于减少有毒副产物氢氰酸的产生，利于环境保护和安全生产等特点。高结晶菱方普鲁士蓝类似物可以用于储能材料、传感材料、催化材料等领域。</w:t>
            </w:r>
          </w:p>
        </w:tc>
        <w:tc>
          <w:tcPr>
            <w:tcW w:w="1365" w:type="dxa"/>
            <w:shd w:val="clear" w:color="auto" w:fill="auto"/>
            <w:noWrap w:val="0"/>
            <w:vAlign w:val="center"/>
          </w:tcPr>
          <w:p w14:paraId="033E7F7A">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王培远、张永辉、方少明、孙淑敏、李永浩、朱登贵</w:t>
            </w:r>
          </w:p>
        </w:tc>
        <w:tc>
          <w:tcPr>
            <w:tcW w:w="1380" w:type="dxa"/>
            <w:shd w:val="clear" w:color="auto" w:fill="auto"/>
            <w:noWrap w:val="0"/>
            <w:vAlign w:val="center"/>
          </w:tcPr>
          <w:p w14:paraId="0F613CFA">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长期使用权（</w:t>
            </w:r>
            <w:r>
              <w:rPr>
                <w:rFonts w:hint="eastAsia" w:ascii="仿宋" w:hAnsi="仿宋" w:eastAsia="仿宋" w:cs="仿宋"/>
                <w:snapToGrid w:val="0"/>
                <w:color w:val="000000"/>
                <w:spacing w:val="-4"/>
                <w:kern w:val="0"/>
                <w:sz w:val="18"/>
                <w:szCs w:val="18"/>
                <w:lang w:val="en-US" w:eastAsia="zh-CN"/>
              </w:rPr>
              <w:t>10</w:t>
            </w:r>
            <w:r>
              <w:rPr>
                <w:rFonts w:hint="eastAsia" w:ascii="仿宋" w:hAnsi="仿宋" w:eastAsia="仿宋" w:cs="仿宋"/>
                <w:snapToGrid w:val="0"/>
                <w:color w:val="000000"/>
                <w:spacing w:val="-4"/>
                <w:kern w:val="0"/>
                <w:sz w:val="18"/>
                <w:szCs w:val="18"/>
              </w:rPr>
              <w:t>年）</w:t>
            </w:r>
          </w:p>
        </w:tc>
        <w:tc>
          <w:tcPr>
            <w:tcW w:w="1335" w:type="dxa"/>
            <w:shd w:val="clear" w:color="auto" w:fill="auto"/>
            <w:noWrap w:val="0"/>
            <w:vAlign w:val="center"/>
          </w:tcPr>
          <w:p w14:paraId="798FF1C5">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sz w:val="18"/>
                <w:szCs w:val="18"/>
              </w:rPr>
            </w:pPr>
            <w:r>
              <w:rPr>
                <w:rFonts w:hint="eastAsia" w:ascii="仿宋" w:hAnsi="仿宋" w:eastAsia="仿宋" w:cs="仿宋"/>
                <w:sz w:val="18"/>
                <w:szCs w:val="18"/>
              </w:rPr>
              <w:t>技术许可</w:t>
            </w:r>
          </w:p>
          <w:p w14:paraId="5C7039CA">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kern w:val="2"/>
                <w:sz w:val="18"/>
                <w:szCs w:val="18"/>
                <w:lang w:val="en-US" w:eastAsia="zh-CN" w:bidi="ar-SA"/>
              </w:rPr>
            </w:pPr>
          </w:p>
        </w:tc>
        <w:tc>
          <w:tcPr>
            <w:tcW w:w="1114" w:type="dxa"/>
            <w:shd w:val="clear" w:color="auto" w:fill="auto"/>
            <w:noWrap w:val="0"/>
            <w:vAlign w:val="center"/>
          </w:tcPr>
          <w:p w14:paraId="68C8CD31">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3.1</w:t>
            </w:r>
          </w:p>
        </w:tc>
        <w:tc>
          <w:tcPr>
            <w:tcW w:w="1285" w:type="dxa"/>
            <w:shd w:val="clear" w:color="auto" w:fill="auto"/>
            <w:noWrap w:val="0"/>
            <w:vAlign w:val="center"/>
          </w:tcPr>
          <w:p w14:paraId="2B1FDEE0">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snapToGrid w:val="0"/>
                <w:color w:val="000000"/>
                <w:spacing w:val="-3"/>
                <w:kern w:val="0"/>
                <w:sz w:val="18"/>
                <w:szCs w:val="18"/>
                <w:lang w:val="en-US" w:eastAsia="zh-CN" w:bidi="ar-SA"/>
              </w:rPr>
            </w:pPr>
            <w:r>
              <w:rPr>
                <w:rFonts w:hint="eastAsia" w:ascii="仿宋" w:hAnsi="仿宋" w:eastAsia="仿宋" w:cs="仿宋"/>
                <w:snapToGrid w:val="0"/>
                <w:color w:val="000000"/>
                <w:spacing w:val="-3"/>
                <w:kern w:val="0"/>
                <w:sz w:val="18"/>
                <w:szCs w:val="18"/>
              </w:rPr>
              <w:t>河南万磨金刚石有限公司</w:t>
            </w:r>
          </w:p>
        </w:tc>
        <w:tc>
          <w:tcPr>
            <w:tcW w:w="786" w:type="dxa"/>
            <w:shd w:val="clear" w:color="auto" w:fill="auto"/>
            <w:noWrap w:val="0"/>
            <w:vAlign w:val="center"/>
          </w:tcPr>
          <w:p w14:paraId="7A0ECEC5">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r>
      <w:tr w14:paraId="2B97D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0EF5C5BB">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14</w:t>
            </w:r>
          </w:p>
        </w:tc>
        <w:tc>
          <w:tcPr>
            <w:tcW w:w="1513" w:type="dxa"/>
            <w:shd w:val="clear" w:color="auto" w:fill="auto"/>
            <w:noWrap w:val="0"/>
            <w:vAlign w:val="center"/>
          </w:tcPr>
          <w:p w14:paraId="375F7B8A">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一种丝瓜瓤状中空二硫化钼材料的制备方法和应用</w:t>
            </w:r>
          </w:p>
        </w:tc>
        <w:tc>
          <w:tcPr>
            <w:tcW w:w="4515" w:type="dxa"/>
            <w:shd w:val="clear" w:color="auto" w:fill="auto"/>
            <w:noWrap w:val="0"/>
            <w:vAlign w:val="center"/>
          </w:tcPr>
          <w:p w14:paraId="69BAFC7E">
            <w:pPr>
              <w:keepNext w:val="0"/>
              <w:keepLines w:val="0"/>
              <w:pageBreakBefore w:val="0"/>
              <w:suppressLineNumbers w:val="0"/>
              <w:kinsoku/>
              <w:wordWrap/>
              <w:overflowPunct/>
              <w:topLinePunct w:val="0"/>
              <w:autoSpaceDE/>
              <w:autoSpaceDN/>
              <w:bidi w:val="0"/>
              <w:adjustRightInd/>
              <w:spacing w:before="78"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二硫化钼与石墨烯结构类似，一般是由单层或多层二硫化钼组成，层与层之间存在着微弱的范德华力，层间距约为0 .65 nm。作为超级电容器电极材料，二硫化钼具有较高的理论比电容，但其易团聚，且在充放电过程中体积变化大导致其优异的电化学性能不能被表现出来。本发明的目的是提供一种新型的丝瓜瓤状中空二硫化钼材料制备方法，该方法可以一步水热合成中空管状二硫化钼，并将其用作超级电容器电极材料。本发明工艺简单，制备得到的丝瓜瓤状中空二硫化钼具有比电容高、性能稳定的特点，可成为电动汽车使用的新型能量存储系统的电极材料。</w:t>
            </w:r>
          </w:p>
        </w:tc>
        <w:tc>
          <w:tcPr>
            <w:tcW w:w="1365" w:type="dxa"/>
            <w:shd w:val="clear" w:color="auto" w:fill="auto"/>
            <w:noWrap w:val="0"/>
            <w:vAlign w:val="center"/>
          </w:tcPr>
          <w:p w14:paraId="6C5C3058">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孙淑敏，王培远，郭东杰</w:t>
            </w:r>
          </w:p>
        </w:tc>
        <w:tc>
          <w:tcPr>
            <w:tcW w:w="1380" w:type="dxa"/>
            <w:shd w:val="clear" w:color="auto" w:fill="auto"/>
            <w:noWrap w:val="0"/>
            <w:vAlign w:val="center"/>
          </w:tcPr>
          <w:p w14:paraId="63936580">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长期使用权（</w:t>
            </w:r>
            <w:r>
              <w:rPr>
                <w:rFonts w:hint="eastAsia" w:ascii="仿宋" w:hAnsi="仿宋" w:eastAsia="仿宋" w:cs="仿宋"/>
                <w:snapToGrid w:val="0"/>
                <w:color w:val="000000"/>
                <w:spacing w:val="-4"/>
                <w:kern w:val="0"/>
                <w:sz w:val="18"/>
                <w:szCs w:val="18"/>
                <w:lang w:val="en-US" w:eastAsia="zh-CN"/>
              </w:rPr>
              <w:t>10</w:t>
            </w:r>
            <w:r>
              <w:rPr>
                <w:rFonts w:hint="eastAsia" w:ascii="仿宋" w:hAnsi="仿宋" w:eastAsia="仿宋" w:cs="仿宋"/>
                <w:snapToGrid w:val="0"/>
                <w:color w:val="000000"/>
                <w:spacing w:val="-4"/>
                <w:kern w:val="0"/>
                <w:sz w:val="18"/>
                <w:szCs w:val="18"/>
              </w:rPr>
              <w:t>年）</w:t>
            </w:r>
          </w:p>
        </w:tc>
        <w:tc>
          <w:tcPr>
            <w:tcW w:w="1335" w:type="dxa"/>
            <w:shd w:val="clear" w:color="auto" w:fill="auto"/>
            <w:noWrap w:val="0"/>
            <w:vAlign w:val="center"/>
          </w:tcPr>
          <w:p w14:paraId="175BE11A">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sz w:val="18"/>
                <w:szCs w:val="18"/>
              </w:rPr>
            </w:pPr>
            <w:r>
              <w:rPr>
                <w:rFonts w:hint="eastAsia" w:ascii="仿宋" w:hAnsi="仿宋" w:eastAsia="仿宋" w:cs="仿宋"/>
                <w:sz w:val="18"/>
                <w:szCs w:val="18"/>
              </w:rPr>
              <w:t>技术许可</w:t>
            </w:r>
          </w:p>
          <w:p w14:paraId="059FDCBE">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kern w:val="2"/>
                <w:sz w:val="18"/>
                <w:szCs w:val="18"/>
                <w:lang w:val="en-US" w:eastAsia="zh-CN" w:bidi="ar-SA"/>
              </w:rPr>
            </w:pPr>
          </w:p>
        </w:tc>
        <w:tc>
          <w:tcPr>
            <w:tcW w:w="1114" w:type="dxa"/>
            <w:shd w:val="clear" w:color="auto" w:fill="auto"/>
            <w:noWrap w:val="0"/>
            <w:vAlign w:val="center"/>
          </w:tcPr>
          <w:p w14:paraId="605C96E0">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3.2</w:t>
            </w:r>
          </w:p>
        </w:tc>
        <w:tc>
          <w:tcPr>
            <w:tcW w:w="1285" w:type="dxa"/>
            <w:shd w:val="clear" w:color="auto" w:fill="auto"/>
            <w:noWrap w:val="0"/>
            <w:vAlign w:val="center"/>
          </w:tcPr>
          <w:p w14:paraId="7560504F">
            <w:pPr>
              <w:keepNext w:val="0"/>
              <w:keepLines w:val="0"/>
              <w:pageBreakBefore w:val="0"/>
              <w:suppressLineNumbers w:val="0"/>
              <w:kinsoku/>
              <w:wordWrap/>
              <w:overflowPunct/>
              <w:topLinePunct w:val="0"/>
              <w:autoSpaceDE/>
              <w:autoSpaceDN/>
              <w:bidi w:val="0"/>
              <w:adjustRightInd/>
              <w:spacing w:before="0" w:beforeAutospacing="0" w:after="0" w:afterAutospacing="0" w:line="640" w:lineRule="exact"/>
              <w:ind w:left="0" w:right="0"/>
              <w:jc w:val="center"/>
              <w:rPr>
                <w:rFonts w:hint="eastAsia" w:ascii="仿宋" w:hAnsi="仿宋" w:eastAsia="仿宋" w:cs="仿宋"/>
                <w:snapToGrid w:val="0"/>
                <w:color w:val="000000"/>
                <w:spacing w:val="-3"/>
                <w:kern w:val="0"/>
                <w:sz w:val="18"/>
                <w:szCs w:val="18"/>
                <w:lang w:val="en-US" w:eastAsia="zh-CN" w:bidi="ar-SA"/>
              </w:rPr>
            </w:pPr>
            <w:r>
              <w:rPr>
                <w:rFonts w:hint="eastAsia" w:ascii="仿宋" w:hAnsi="仿宋" w:eastAsia="仿宋" w:cs="仿宋"/>
                <w:snapToGrid w:val="0"/>
                <w:color w:val="000000"/>
                <w:spacing w:val="-3"/>
                <w:kern w:val="0"/>
                <w:sz w:val="18"/>
                <w:szCs w:val="18"/>
              </w:rPr>
              <w:t>河南万磨金刚石有限公司</w:t>
            </w:r>
          </w:p>
        </w:tc>
        <w:tc>
          <w:tcPr>
            <w:tcW w:w="786" w:type="dxa"/>
            <w:shd w:val="clear" w:color="auto" w:fill="auto"/>
            <w:noWrap w:val="0"/>
            <w:vAlign w:val="center"/>
          </w:tcPr>
          <w:p w14:paraId="728459A8">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r>
      <w:tr w14:paraId="3210C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3942D7B3">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15</w:t>
            </w:r>
          </w:p>
        </w:tc>
        <w:tc>
          <w:tcPr>
            <w:tcW w:w="1513" w:type="dxa"/>
            <w:shd w:val="clear" w:color="auto" w:fill="auto"/>
            <w:noWrap w:val="0"/>
            <w:vAlign w:val="center"/>
          </w:tcPr>
          <w:p w14:paraId="0930A130">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lang w:val="en-US" w:eastAsia="zh-CN" w:bidi="ar-SA"/>
              </w:rPr>
              <w:t>基于缓存失效行为的预取距离自适应调整方法及装置</w:t>
            </w:r>
          </w:p>
        </w:tc>
        <w:tc>
          <w:tcPr>
            <w:tcW w:w="4515" w:type="dxa"/>
            <w:shd w:val="clear" w:color="auto" w:fill="auto"/>
            <w:noWrap w:val="0"/>
            <w:vAlign w:val="center"/>
          </w:tcPr>
          <w:p w14:paraId="0630B200">
            <w:pPr>
              <w:keepNext w:val="0"/>
              <w:keepLines w:val="0"/>
              <w:pageBreakBefore w:val="0"/>
              <w:widowControl w:val="0"/>
              <w:suppressLineNumbers w:val="0"/>
              <w:kinsoku/>
              <w:wordWrap/>
              <w:overflowPunct/>
              <w:topLinePunct w:val="0"/>
              <w:autoSpaceDE/>
              <w:autoSpaceDN/>
              <w:bidi w:val="0"/>
              <w:adjustRightInd/>
              <w:spacing w:before="78" w:beforeAutospacing="0" w:after="0" w:afterAutospacing="0" w:line="640" w:lineRule="exact"/>
              <w:ind w:left="0" w:right="0" w:firstLine="360" w:firstLineChars="200"/>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z w:val="18"/>
                <w:szCs w:val="18"/>
                <w:lang w:eastAsia="zh-CN"/>
              </w:rPr>
              <w:t>本发明涉及基于缓存失效行为的预取距离自适应调整方法及装置,属于计算机技术领域.该方法包括以下步骤:获取帮助线程的缓存失效率和主线程缓存失效率,根据所述帮助线程的缓存失效率和所述主线程的缓存失效率得到缓存失效率比,所述缓存失效率比为所述帮助线程的失效率与所述主线程失效率的比值;获取预取对象平衡选取比率;将所述缓存失效率比和所述预取对象平衡选取比率进行比较,根据比较结果调节所述帮助线程的预取距离.本发明利用帮助线程和主线程缓存失效行为信息,计算帮助线程与主线程的缓存失效率之比,根据比值和预取率的比较结果调整预取距离,从而为帮助线程预取设定最优预取距离,解决了传统方法存在的不能有效隐藏访存延迟的问题。</w:t>
            </w:r>
          </w:p>
        </w:tc>
        <w:tc>
          <w:tcPr>
            <w:tcW w:w="1365" w:type="dxa"/>
            <w:shd w:val="clear" w:color="auto" w:fill="auto"/>
            <w:noWrap w:val="0"/>
            <w:vAlign w:val="center"/>
          </w:tcPr>
          <w:p w14:paraId="339DD8A5">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z w:val="18"/>
                <w:szCs w:val="18"/>
                <w:lang w:val="en-US" w:eastAsia="zh-CN"/>
              </w:rPr>
              <w:t>朱会东</w:t>
            </w:r>
            <w:r>
              <w:rPr>
                <w:rFonts w:hint="eastAsia" w:ascii="仿宋" w:hAnsi="仿宋" w:eastAsia="仿宋" w:cs="仿宋"/>
                <w:sz w:val="18"/>
                <w:szCs w:val="18"/>
                <w:lang w:eastAsia="zh-CN"/>
              </w:rPr>
              <w:t>、黄艳</w:t>
            </w:r>
            <w:r>
              <w:rPr>
                <w:rFonts w:hint="eastAsia" w:ascii="仿宋" w:hAnsi="仿宋" w:eastAsia="仿宋" w:cs="仿宋"/>
                <w:sz w:val="18"/>
                <w:szCs w:val="18"/>
                <w:lang w:val="en-US" w:eastAsia="zh-CN"/>
              </w:rPr>
              <w:t>、殷知磊</w:t>
            </w:r>
            <w:r>
              <w:rPr>
                <w:rFonts w:hint="eastAsia" w:ascii="仿宋" w:hAnsi="仿宋" w:eastAsia="仿宋" w:cs="仿宋"/>
                <w:sz w:val="18"/>
                <w:szCs w:val="18"/>
                <w:lang w:eastAsia="zh-CN"/>
              </w:rPr>
              <w:t>、梁辉、陈明、楚阳扬、</w:t>
            </w:r>
            <w:r>
              <w:rPr>
                <w:rFonts w:hint="eastAsia" w:ascii="仿宋" w:hAnsi="仿宋" w:eastAsia="仿宋" w:cs="仿宋"/>
                <w:sz w:val="18"/>
                <w:szCs w:val="18"/>
                <w:lang w:val="en-US" w:eastAsia="zh-CN"/>
              </w:rPr>
              <w:t>王占阳</w:t>
            </w:r>
          </w:p>
        </w:tc>
        <w:tc>
          <w:tcPr>
            <w:tcW w:w="1380" w:type="dxa"/>
            <w:shd w:val="clear" w:color="auto" w:fill="auto"/>
            <w:noWrap w:val="0"/>
            <w:vAlign w:val="center"/>
          </w:tcPr>
          <w:p w14:paraId="2EDB3A1C">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lang w:val="en-US" w:eastAsia="zh-CN" w:bidi="ar-SA"/>
              </w:rPr>
              <w:t>长期使用权（10年）</w:t>
            </w:r>
          </w:p>
        </w:tc>
        <w:tc>
          <w:tcPr>
            <w:tcW w:w="1335" w:type="dxa"/>
            <w:shd w:val="clear" w:color="auto" w:fill="auto"/>
            <w:noWrap w:val="0"/>
            <w:vAlign w:val="center"/>
          </w:tcPr>
          <w:p w14:paraId="429117DF">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技术许可</w:t>
            </w:r>
          </w:p>
          <w:p w14:paraId="6E9CF1CF">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c>
          <w:tcPr>
            <w:tcW w:w="1114" w:type="dxa"/>
            <w:shd w:val="clear" w:color="auto" w:fill="auto"/>
            <w:noWrap w:val="0"/>
            <w:vAlign w:val="center"/>
          </w:tcPr>
          <w:p w14:paraId="6AA34BD5">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r>
              <w:rPr>
                <w:rFonts w:hint="eastAsia" w:ascii="仿宋" w:hAnsi="仿宋" w:eastAsia="仿宋" w:cs="仿宋"/>
                <w:kern w:val="2"/>
                <w:sz w:val="18"/>
                <w:szCs w:val="18"/>
                <w:lang w:val="en-US" w:eastAsia="zh-CN" w:bidi="ar-SA"/>
              </w:rPr>
              <w:t>3.1</w:t>
            </w:r>
          </w:p>
        </w:tc>
        <w:tc>
          <w:tcPr>
            <w:tcW w:w="1285" w:type="dxa"/>
            <w:shd w:val="clear" w:color="auto" w:fill="auto"/>
            <w:noWrap w:val="0"/>
            <w:vAlign w:val="center"/>
          </w:tcPr>
          <w:p w14:paraId="2F194884">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snapToGrid w:val="0"/>
                <w:color w:val="000000"/>
                <w:spacing w:val="-3"/>
                <w:kern w:val="0"/>
                <w:sz w:val="18"/>
                <w:szCs w:val="18"/>
                <w:lang w:val="en-US" w:eastAsia="zh-CN" w:bidi="ar-SA"/>
              </w:rPr>
            </w:pPr>
            <w:r>
              <w:rPr>
                <w:rFonts w:hint="eastAsia" w:ascii="仿宋" w:hAnsi="仿宋" w:eastAsia="仿宋" w:cs="仿宋"/>
                <w:sz w:val="18"/>
                <w:szCs w:val="18"/>
              </w:rPr>
              <w:t>河南费奇电子科技有限公司</w:t>
            </w:r>
          </w:p>
        </w:tc>
        <w:tc>
          <w:tcPr>
            <w:tcW w:w="786" w:type="dxa"/>
            <w:shd w:val="clear" w:color="auto" w:fill="auto"/>
            <w:noWrap w:val="0"/>
            <w:vAlign w:val="center"/>
          </w:tcPr>
          <w:p w14:paraId="72C8DC42">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r>
      <w:tr w14:paraId="15427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0370385F">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40" w:lineRule="exact"/>
              <w:ind w:left="0" w:right="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16</w:t>
            </w:r>
          </w:p>
        </w:tc>
        <w:tc>
          <w:tcPr>
            <w:tcW w:w="1513" w:type="dxa"/>
            <w:shd w:val="clear" w:color="auto" w:fill="auto"/>
            <w:noWrap w:val="0"/>
            <w:vAlign w:val="center"/>
          </w:tcPr>
          <w:p w14:paraId="48901D0F">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bCs/>
                <w:kern w:val="2"/>
                <w:sz w:val="18"/>
                <w:szCs w:val="18"/>
                <w:lang w:val="en-US" w:eastAsia="zh-CN" w:bidi="ar-SA"/>
              </w:rPr>
            </w:pPr>
            <w:r>
              <w:rPr>
                <w:rFonts w:hint="eastAsia" w:ascii="仿宋" w:hAnsi="仿宋" w:eastAsia="仿宋" w:cs="仿宋"/>
                <w:bCs/>
                <w:sz w:val="18"/>
                <w:szCs w:val="18"/>
              </w:rPr>
              <w:t>一种双载体单原子催化剂及其制备方法和应用</w:t>
            </w:r>
          </w:p>
        </w:tc>
        <w:tc>
          <w:tcPr>
            <w:tcW w:w="4515" w:type="dxa"/>
            <w:shd w:val="clear" w:color="auto" w:fill="auto"/>
            <w:noWrap w:val="0"/>
            <w:vAlign w:val="center"/>
          </w:tcPr>
          <w:p w14:paraId="0F1FC891">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bCs/>
                <w:kern w:val="2"/>
                <w:sz w:val="18"/>
                <w:szCs w:val="18"/>
                <w:lang w:val="en-US" w:eastAsia="zh-CN" w:bidi="ar-SA"/>
              </w:rPr>
            </w:pPr>
            <w:r>
              <w:rPr>
                <w:rFonts w:hint="eastAsia" w:ascii="仿宋" w:hAnsi="仿宋" w:eastAsia="仿宋" w:cs="仿宋"/>
                <w:sz w:val="18"/>
                <w:szCs w:val="18"/>
              </w:rPr>
              <w:t>本发明属于电催化材料领域，以富硫空位、碳插层、蛋黄蛋壳结构的C-MoS</w:t>
            </w:r>
            <w:r>
              <w:rPr>
                <w:rFonts w:hint="eastAsia" w:ascii="仿宋" w:hAnsi="仿宋" w:eastAsia="仿宋" w:cs="仿宋"/>
                <w:sz w:val="18"/>
                <w:szCs w:val="18"/>
                <w:vertAlign w:val="subscript"/>
              </w:rPr>
              <w:t>2</w:t>
            </w:r>
            <w:r>
              <w:rPr>
                <w:rFonts w:hint="eastAsia" w:ascii="仿宋" w:hAnsi="仿宋" w:eastAsia="仿宋" w:cs="仿宋"/>
                <w:sz w:val="18"/>
                <w:szCs w:val="18"/>
              </w:rPr>
              <w:t>为双载体，选择负离子金属基团为金属源，可控制备出具有双载体环境的C-M-MoS</w:t>
            </w:r>
            <w:r>
              <w:rPr>
                <w:rFonts w:hint="eastAsia" w:ascii="仿宋" w:hAnsi="仿宋" w:eastAsia="仿宋" w:cs="仿宋"/>
                <w:sz w:val="18"/>
                <w:szCs w:val="18"/>
                <w:vertAlign w:val="subscript"/>
              </w:rPr>
              <w:t>2</w:t>
            </w:r>
            <w:r>
              <w:rPr>
                <w:rFonts w:hint="eastAsia" w:ascii="仿宋" w:hAnsi="仿宋" w:eastAsia="仿宋" w:cs="仿宋"/>
                <w:sz w:val="18"/>
                <w:szCs w:val="18"/>
              </w:rPr>
              <w:t>单原子催化剂。该合成技术具有普适性，可用于8种单原子催化剂的制备，金属原子的负载量可在0 .77-5 .71 wt%范围内调控，且具有优异的酸性电催化析氢性能。该发明涉及单原子催化剂微环境的精确调控，为利用双载体构建高活性单原子催化剂提供思路。该催化剂材料可以用于电催化制备氢能等领域。</w:t>
            </w:r>
          </w:p>
        </w:tc>
        <w:tc>
          <w:tcPr>
            <w:tcW w:w="1365" w:type="dxa"/>
            <w:shd w:val="clear" w:color="auto" w:fill="auto"/>
            <w:noWrap w:val="0"/>
            <w:vAlign w:val="center"/>
          </w:tcPr>
          <w:p w14:paraId="43A8BAA6">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bCs/>
                <w:kern w:val="2"/>
                <w:sz w:val="18"/>
                <w:szCs w:val="18"/>
                <w:lang w:val="en-US" w:eastAsia="zh-CN" w:bidi="ar-SA"/>
              </w:rPr>
            </w:pPr>
            <w:r>
              <w:rPr>
                <w:rFonts w:hint="eastAsia" w:ascii="仿宋" w:hAnsi="仿宋" w:eastAsia="仿宋" w:cs="仿宋"/>
                <w:bCs/>
                <w:sz w:val="18"/>
                <w:szCs w:val="18"/>
              </w:rPr>
              <w:t>巩飞龙、刘钰恒、弓丽华、常超群、张永辉</w:t>
            </w:r>
          </w:p>
        </w:tc>
        <w:tc>
          <w:tcPr>
            <w:tcW w:w="1380" w:type="dxa"/>
            <w:shd w:val="clear" w:color="auto" w:fill="auto"/>
            <w:noWrap w:val="0"/>
            <w:vAlign w:val="center"/>
          </w:tcPr>
          <w:p w14:paraId="185F572E">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bCs/>
                <w:kern w:val="2"/>
                <w:sz w:val="18"/>
                <w:szCs w:val="18"/>
                <w:lang w:val="en-US" w:eastAsia="zh-CN" w:bidi="ar-SA"/>
              </w:rPr>
            </w:pPr>
            <w:r>
              <w:rPr>
                <w:rFonts w:hint="eastAsia" w:ascii="仿宋" w:hAnsi="仿宋" w:eastAsia="仿宋" w:cs="仿宋"/>
                <w:bCs/>
                <w:sz w:val="18"/>
                <w:szCs w:val="18"/>
              </w:rPr>
              <w:t>长期使用权（10年）</w:t>
            </w:r>
          </w:p>
        </w:tc>
        <w:tc>
          <w:tcPr>
            <w:tcW w:w="1335" w:type="dxa"/>
            <w:shd w:val="clear" w:color="auto" w:fill="auto"/>
            <w:noWrap w:val="0"/>
            <w:vAlign w:val="center"/>
          </w:tcPr>
          <w:p w14:paraId="000D111C">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bCs/>
                <w:kern w:val="2"/>
                <w:sz w:val="18"/>
                <w:szCs w:val="18"/>
                <w:lang w:val="en-US" w:eastAsia="zh-CN" w:bidi="ar-SA"/>
              </w:rPr>
            </w:pPr>
            <w:r>
              <w:rPr>
                <w:rFonts w:hint="eastAsia" w:ascii="仿宋" w:hAnsi="仿宋" w:eastAsia="仿宋" w:cs="仿宋"/>
                <w:bCs/>
                <w:sz w:val="18"/>
                <w:szCs w:val="18"/>
              </w:rPr>
              <w:t>技术许可</w:t>
            </w:r>
          </w:p>
        </w:tc>
        <w:tc>
          <w:tcPr>
            <w:tcW w:w="1114" w:type="dxa"/>
            <w:shd w:val="clear" w:color="auto" w:fill="auto"/>
            <w:noWrap w:val="0"/>
            <w:vAlign w:val="center"/>
          </w:tcPr>
          <w:p w14:paraId="622E2C3A">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bCs/>
                <w:kern w:val="2"/>
                <w:sz w:val="18"/>
                <w:szCs w:val="18"/>
                <w:lang w:val="en-US" w:eastAsia="zh-CN" w:bidi="ar-SA"/>
              </w:rPr>
            </w:pPr>
            <w:r>
              <w:rPr>
                <w:rFonts w:hint="eastAsia" w:ascii="仿宋" w:hAnsi="仿宋" w:eastAsia="仿宋" w:cs="仿宋"/>
                <w:bCs/>
                <w:sz w:val="18"/>
                <w:szCs w:val="18"/>
              </w:rPr>
              <w:t>3.1</w:t>
            </w:r>
          </w:p>
        </w:tc>
        <w:tc>
          <w:tcPr>
            <w:tcW w:w="1285" w:type="dxa"/>
            <w:shd w:val="clear" w:color="auto" w:fill="auto"/>
            <w:noWrap w:val="0"/>
            <w:vAlign w:val="center"/>
          </w:tcPr>
          <w:p w14:paraId="1EB0A656">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640" w:lineRule="exact"/>
              <w:ind w:left="0" w:right="0"/>
              <w:jc w:val="center"/>
              <w:textAlignment w:val="center"/>
              <w:rPr>
                <w:rFonts w:hint="eastAsia" w:ascii="仿宋" w:hAnsi="仿宋" w:eastAsia="仿宋" w:cs="仿宋"/>
                <w:bCs/>
                <w:kern w:val="2"/>
                <w:sz w:val="18"/>
                <w:szCs w:val="18"/>
                <w:lang w:val="en-US" w:eastAsia="zh-CN" w:bidi="ar-SA"/>
              </w:rPr>
            </w:pPr>
            <w:r>
              <w:rPr>
                <w:rFonts w:hint="eastAsia" w:ascii="仿宋" w:hAnsi="仿宋" w:eastAsia="仿宋" w:cs="仿宋"/>
                <w:bCs/>
                <w:sz w:val="18"/>
                <w:szCs w:val="18"/>
              </w:rPr>
              <w:t>郑州秀谱生物科技有限公司</w:t>
            </w:r>
          </w:p>
        </w:tc>
        <w:tc>
          <w:tcPr>
            <w:tcW w:w="786" w:type="dxa"/>
            <w:shd w:val="clear" w:color="auto" w:fill="auto"/>
            <w:noWrap w:val="0"/>
            <w:vAlign w:val="center"/>
          </w:tcPr>
          <w:p w14:paraId="36877719">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640" w:lineRule="exact"/>
              <w:ind w:left="0" w:right="0"/>
              <w:jc w:val="center"/>
              <w:textAlignment w:val="auto"/>
              <w:rPr>
                <w:rFonts w:hint="eastAsia" w:ascii="仿宋" w:hAnsi="仿宋" w:eastAsia="仿宋" w:cs="仿宋"/>
                <w:kern w:val="2"/>
                <w:sz w:val="18"/>
                <w:szCs w:val="18"/>
                <w:lang w:val="en-US" w:eastAsia="zh-CN" w:bidi="ar-SA"/>
              </w:rPr>
            </w:pPr>
          </w:p>
        </w:tc>
      </w:tr>
    </w:tbl>
    <w:p w14:paraId="575A7CBE">
      <w:pPr>
        <w:keepNext w:val="0"/>
        <w:keepLines w:val="0"/>
        <w:pageBreakBefore w:val="0"/>
        <w:kinsoku/>
        <w:wordWrap/>
        <w:overflowPunct/>
        <w:topLinePunct w:val="0"/>
        <w:autoSpaceDE/>
        <w:autoSpaceDN/>
        <w:bidi w:val="0"/>
        <w:adjustRightInd/>
        <w:spacing w:line="640" w:lineRule="exact"/>
        <w:jc w:val="center"/>
        <w:rPr>
          <w:rFonts w:hint="eastAsia" w:ascii="仿宋" w:hAnsi="仿宋" w:eastAsia="仿宋" w:cs="仿宋"/>
          <w:sz w:val="18"/>
          <w:szCs w:val="18"/>
        </w:rPr>
      </w:pPr>
    </w:p>
    <w:p w14:paraId="6BB702C2"/>
    <w:p w14:paraId="652FDBD2"/>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72E2CF9"/>
    <w:rsid w:val="09EC76B2"/>
    <w:rsid w:val="0D9D0734"/>
    <w:rsid w:val="0F2B62DD"/>
    <w:rsid w:val="1308507D"/>
    <w:rsid w:val="26192BF6"/>
    <w:rsid w:val="27A241B6"/>
    <w:rsid w:val="35B55A90"/>
    <w:rsid w:val="361625D7"/>
    <w:rsid w:val="3B2D5F23"/>
    <w:rsid w:val="415E2C8C"/>
    <w:rsid w:val="50D852D8"/>
    <w:rsid w:val="58406388"/>
    <w:rsid w:val="66904561"/>
    <w:rsid w:val="69770745"/>
    <w:rsid w:val="6AFA102A"/>
    <w:rsid w:val="769C1AE4"/>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4465</Words>
  <Characters>4620</Characters>
  <Lines>0</Lines>
  <Paragraphs>0</Paragraphs>
  <TotalTime>0</TotalTime>
  <ScaleCrop>false</ScaleCrop>
  <LinksUpToDate>false</LinksUpToDate>
  <CharactersWithSpaces>4697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2025-12-12T07:55:58Z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D565A83D45BE48A6B4DEEFAFC4D27AA0_13</vt:lpwstr>
  </property>
  <property fmtid="{D5CDD505-2E9C-101B-9397-08002B2CF9AE}" pid="4" name="KSOTemplateDocerSaveRecord">
    <vt:lpwstr>eyJoZGlkIjoiNjRiMWNhNzcyYTNmZTkwZTQxMjQ2NTA4NDVmOGU4OGYiLCJ1c2VySWQiOiIzMDA5MzIwNzcifQ==</vt:lpwstr>
  </property>
</Properties>
</file>