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DFA21A">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5E24255C">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ascii="仿宋" w:hAnsi="仿宋" w:eastAsia="仿宋" w:cs="仿宋"/>
          <w:sz w:val="28"/>
          <w:szCs w:val="28"/>
        </w:rPr>
        <w:t>6</w:t>
      </w:r>
      <w:r>
        <w:rPr>
          <w:rFonts w:hint="eastAsia" w:ascii="仿宋" w:hAnsi="仿宋" w:eastAsia="仿宋" w:cs="仿宋"/>
          <w:sz w:val="28"/>
          <w:szCs w:val="28"/>
        </w:rPr>
        <w:t>年</w:t>
      </w:r>
      <w:r>
        <w:rPr>
          <w:rFonts w:ascii="仿宋" w:hAnsi="仿宋" w:eastAsia="仿宋" w:cs="仿宋"/>
          <w:sz w:val="28"/>
          <w:szCs w:val="28"/>
        </w:rPr>
        <w:t>3</w:t>
      </w:r>
      <w:r>
        <w:rPr>
          <w:rFonts w:hint="eastAsia" w:ascii="仿宋" w:hAnsi="仿宋" w:eastAsia="仿宋" w:cs="仿宋"/>
          <w:sz w:val="28"/>
          <w:szCs w:val="28"/>
        </w:rPr>
        <w:t>月</w:t>
      </w:r>
      <w:r>
        <w:rPr>
          <w:rFonts w:hint="eastAsia" w:ascii="仿宋" w:hAnsi="仿宋" w:eastAsia="仿宋" w:cs="仿宋"/>
          <w:sz w:val="28"/>
          <w:szCs w:val="28"/>
          <w:lang w:val="en-US" w:eastAsia="zh-CN"/>
        </w:rPr>
        <w:t>2</w:t>
      </w:r>
      <w:r>
        <w:rPr>
          <w:rFonts w:hint="eastAsia" w:ascii="仿宋" w:hAnsi="仿宋" w:eastAsia="仿宋" w:cs="仿宋"/>
          <w:sz w:val="28"/>
          <w:szCs w:val="28"/>
        </w:rPr>
        <w:t>日</w:t>
      </w:r>
    </w:p>
    <w:tbl>
      <w:tblPr>
        <w:tblStyle w:val="2"/>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971"/>
        <w:gridCol w:w="2235"/>
        <w:gridCol w:w="2205"/>
        <w:gridCol w:w="2233"/>
        <w:gridCol w:w="1207"/>
        <w:gridCol w:w="1371"/>
        <w:gridCol w:w="1285"/>
        <w:gridCol w:w="786"/>
      </w:tblGrid>
      <w:tr w14:paraId="380C3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vAlign w:val="center"/>
          </w:tcPr>
          <w:p w14:paraId="775DF3CF">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序号</w:t>
            </w:r>
          </w:p>
        </w:tc>
        <w:tc>
          <w:tcPr>
            <w:tcW w:w="1971" w:type="dxa"/>
            <w:shd w:val="clear" w:color="auto" w:fill="auto"/>
            <w:vAlign w:val="center"/>
          </w:tcPr>
          <w:p w14:paraId="674CBA10">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成果名称</w:t>
            </w:r>
          </w:p>
        </w:tc>
        <w:tc>
          <w:tcPr>
            <w:tcW w:w="2235" w:type="dxa"/>
            <w:shd w:val="clear" w:color="auto" w:fill="auto"/>
            <w:vAlign w:val="center"/>
          </w:tcPr>
          <w:p w14:paraId="5DEF069E">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成果内容摘要</w:t>
            </w:r>
          </w:p>
        </w:tc>
        <w:tc>
          <w:tcPr>
            <w:tcW w:w="2205" w:type="dxa"/>
            <w:shd w:val="clear" w:color="auto" w:fill="auto"/>
            <w:vAlign w:val="center"/>
          </w:tcPr>
          <w:p w14:paraId="32D7CA01">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成果完成人</w:t>
            </w:r>
          </w:p>
        </w:tc>
        <w:tc>
          <w:tcPr>
            <w:tcW w:w="2233" w:type="dxa"/>
            <w:shd w:val="clear" w:color="auto" w:fill="auto"/>
            <w:vAlign w:val="center"/>
          </w:tcPr>
          <w:p w14:paraId="1F0381BB">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赋权类型</w:t>
            </w:r>
          </w:p>
        </w:tc>
        <w:tc>
          <w:tcPr>
            <w:tcW w:w="1207" w:type="dxa"/>
            <w:shd w:val="clear" w:color="auto" w:fill="auto"/>
            <w:vAlign w:val="center"/>
          </w:tcPr>
          <w:p w14:paraId="1CECE909">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转化</w:t>
            </w:r>
          </w:p>
          <w:p w14:paraId="60D4B982">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方式</w:t>
            </w:r>
          </w:p>
        </w:tc>
        <w:tc>
          <w:tcPr>
            <w:tcW w:w="1371" w:type="dxa"/>
            <w:shd w:val="clear" w:color="auto" w:fill="auto"/>
            <w:vAlign w:val="center"/>
          </w:tcPr>
          <w:p w14:paraId="0309FA14">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交易金额（万元）</w:t>
            </w:r>
          </w:p>
        </w:tc>
        <w:tc>
          <w:tcPr>
            <w:tcW w:w="1285" w:type="dxa"/>
            <w:shd w:val="clear" w:color="auto" w:fill="auto"/>
            <w:vAlign w:val="center"/>
          </w:tcPr>
          <w:p w14:paraId="1FC891AB">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受让方</w:t>
            </w:r>
          </w:p>
        </w:tc>
        <w:tc>
          <w:tcPr>
            <w:tcW w:w="786" w:type="dxa"/>
            <w:shd w:val="clear" w:color="auto" w:fill="auto"/>
            <w:vAlign w:val="center"/>
          </w:tcPr>
          <w:p w14:paraId="680DBDB0">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备注</w:t>
            </w:r>
          </w:p>
        </w:tc>
      </w:tr>
      <w:tr w14:paraId="1F7E5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5298ED16">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黑体" w:hAnsi="黑体" w:eastAsia="黑体" w:cs="黑体"/>
                <w:sz w:val="24"/>
              </w:rPr>
            </w:pPr>
            <w:r>
              <w:rPr>
                <w:rFonts w:hint="eastAsia" w:ascii="黑体" w:hAnsi="黑体" w:eastAsia="黑体" w:cs="黑体"/>
                <w:sz w:val="24"/>
              </w:rPr>
              <w:t>1</w:t>
            </w:r>
          </w:p>
        </w:tc>
        <w:tc>
          <w:tcPr>
            <w:tcW w:w="1971" w:type="dxa"/>
            <w:shd w:val="clear" w:color="auto" w:fill="auto"/>
            <w:vAlign w:val="center"/>
          </w:tcPr>
          <w:p w14:paraId="51FF5836">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仿宋" w:hAnsi="仿宋" w:eastAsia="仿宋" w:cs="仿宋"/>
                <w:snapToGrid w:val="0"/>
                <w:color w:val="000000"/>
                <w:spacing w:val="-4"/>
                <w:kern w:val="0"/>
                <w:sz w:val="24"/>
                <w:szCs w:val="24"/>
              </w:rPr>
            </w:pPr>
            <w:r>
              <w:rPr>
                <w:rFonts w:hint="eastAsia" w:ascii="仿宋" w:hAnsi="仿宋" w:eastAsia="仿宋" w:cs="仿宋"/>
                <w:sz w:val="24"/>
                <w:szCs w:val="24"/>
              </w:rPr>
              <w:t>基于多尺度动态加权多维残差卷积的机械信号降噪方法</w:t>
            </w:r>
          </w:p>
        </w:tc>
        <w:tc>
          <w:tcPr>
            <w:tcW w:w="2235" w:type="dxa"/>
            <w:shd w:val="clear" w:color="auto" w:fill="auto"/>
            <w:vAlign w:val="center"/>
          </w:tcPr>
          <w:p w14:paraId="37631E3A">
            <w:pPr>
              <w:keepNext w:val="0"/>
              <w:keepLines w:val="0"/>
              <w:pageBreakBefore w:val="0"/>
              <w:widowControl w:val="0"/>
              <w:kinsoku/>
              <w:wordWrap/>
              <w:overflowPunct/>
              <w:topLinePunct w:val="0"/>
              <w:autoSpaceDE/>
              <w:autoSpaceDN/>
              <w:bidi w:val="0"/>
              <w:adjustRightInd/>
              <w:spacing w:before="78" w:line="480" w:lineRule="auto"/>
              <w:jc w:val="left"/>
              <w:textAlignment w:val="auto"/>
              <w:rPr>
                <w:rFonts w:ascii="仿宋" w:hAnsi="仿宋" w:eastAsia="仿宋" w:cs="仿宋"/>
                <w:snapToGrid w:val="0"/>
                <w:color w:val="000000"/>
                <w:spacing w:val="-4"/>
                <w:kern w:val="0"/>
                <w:sz w:val="24"/>
                <w:szCs w:val="24"/>
              </w:rPr>
            </w:pPr>
            <w:r>
              <w:rPr>
                <w:rFonts w:hint="eastAsia" w:ascii="仿宋" w:hAnsi="仿宋" w:eastAsia="仿宋" w:cs="仿宋"/>
                <w:snapToGrid w:val="0"/>
                <w:color w:val="000000"/>
                <w:spacing w:val="-4"/>
                <w:kern w:val="0"/>
                <w:sz w:val="24"/>
                <w:szCs w:val="24"/>
              </w:rPr>
              <w:t>成果涉及一种基于多尺度动态加权多维联合残差卷积自编码的旋转机械信号降噪方法，利用深度卷积自编码网络实现信号去噪。</w:t>
            </w:r>
          </w:p>
        </w:tc>
        <w:tc>
          <w:tcPr>
            <w:tcW w:w="2205" w:type="dxa"/>
            <w:shd w:val="clear" w:color="auto" w:fill="auto"/>
            <w:vAlign w:val="center"/>
          </w:tcPr>
          <w:p w14:paraId="10A6BD03">
            <w:pPr>
              <w:keepNext w:val="0"/>
              <w:keepLines w:val="0"/>
              <w:pageBreakBefore w:val="0"/>
              <w:widowControl w:val="0"/>
              <w:kinsoku/>
              <w:wordWrap/>
              <w:overflowPunct/>
              <w:topLinePunct w:val="0"/>
              <w:autoSpaceDE/>
              <w:autoSpaceDN/>
              <w:bidi w:val="0"/>
              <w:adjustRightInd/>
              <w:snapToGrid w:val="0"/>
              <w:spacing w:line="480" w:lineRule="auto"/>
              <w:jc w:val="left"/>
              <w:textAlignment w:val="auto"/>
              <w:rPr>
                <w:rFonts w:ascii="仿宋" w:hAnsi="仿宋" w:eastAsia="仿宋" w:cs="仿宋"/>
                <w:snapToGrid w:val="0"/>
                <w:color w:val="000000"/>
                <w:spacing w:val="-4"/>
                <w:kern w:val="0"/>
                <w:sz w:val="24"/>
                <w:szCs w:val="24"/>
              </w:rPr>
            </w:pPr>
            <w:r>
              <w:rPr>
                <w:rFonts w:hint="eastAsia" w:ascii="仿宋" w:hAnsi="仿宋" w:eastAsia="仿宋" w:cs="仿宋"/>
                <w:snapToGrid w:val="0"/>
                <w:color w:val="000000"/>
                <w:spacing w:val="-4"/>
                <w:kern w:val="0"/>
                <w:sz w:val="24"/>
                <w:szCs w:val="24"/>
              </w:rPr>
              <w:t>杜文辽，杨凌凯，王宏超，巩晓赟，谢贵重，赵峰，邬昌军，高艺源，王良文，牛新闯</w:t>
            </w:r>
          </w:p>
        </w:tc>
        <w:tc>
          <w:tcPr>
            <w:tcW w:w="2233" w:type="dxa"/>
            <w:shd w:val="clear" w:color="auto" w:fill="auto"/>
            <w:vAlign w:val="center"/>
          </w:tcPr>
          <w:p w14:paraId="679E2114">
            <w:pPr>
              <w:keepNext w:val="0"/>
              <w:keepLines w:val="0"/>
              <w:pageBreakBefore w:val="0"/>
              <w:widowControl w:val="0"/>
              <w:kinsoku/>
              <w:wordWrap/>
              <w:overflowPunct/>
              <w:topLinePunct w:val="0"/>
              <w:autoSpaceDE/>
              <w:autoSpaceDN/>
              <w:bidi w:val="0"/>
              <w:adjustRightInd/>
              <w:snapToGrid w:val="0"/>
              <w:spacing w:line="480" w:lineRule="auto"/>
              <w:jc w:val="center"/>
              <w:textAlignment w:val="auto"/>
              <w:rPr>
                <w:rFonts w:ascii="仿宋" w:hAnsi="仿宋" w:eastAsia="仿宋" w:cs="仿宋"/>
                <w:snapToGrid w:val="0"/>
                <w:spacing w:val="-4"/>
                <w:kern w:val="0"/>
                <w:sz w:val="24"/>
                <w:szCs w:val="24"/>
              </w:rPr>
            </w:pPr>
            <w:r>
              <w:rPr>
                <w:rFonts w:hint="eastAsia" w:ascii="仿宋" w:hAnsi="仿宋" w:eastAsia="仿宋" w:cs="仿宋"/>
                <w:snapToGrid w:val="0"/>
                <w:spacing w:val="-4"/>
                <w:kern w:val="0"/>
                <w:sz w:val="24"/>
                <w:szCs w:val="24"/>
              </w:rPr>
              <w:t>所有权（学校10%，成果完成团队90%）</w:t>
            </w:r>
          </w:p>
        </w:tc>
        <w:tc>
          <w:tcPr>
            <w:tcW w:w="1207" w:type="dxa"/>
            <w:shd w:val="clear" w:color="auto" w:fill="auto"/>
            <w:vAlign w:val="center"/>
          </w:tcPr>
          <w:p w14:paraId="359E756E">
            <w:pPr>
              <w:keepNext w:val="0"/>
              <w:keepLines w:val="0"/>
              <w:pageBreakBefore w:val="0"/>
              <w:widowControl w:val="0"/>
              <w:kinsoku/>
              <w:wordWrap/>
              <w:overflowPunct/>
              <w:topLinePunct w:val="0"/>
              <w:autoSpaceDE/>
              <w:autoSpaceDN/>
              <w:bidi w:val="0"/>
              <w:adjustRightInd/>
              <w:spacing w:line="480" w:lineRule="auto"/>
              <w:jc w:val="center"/>
              <w:textAlignment w:val="auto"/>
              <w:rPr>
                <w:rFonts w:ascii="仿宋" w:hAnsi="仿宋" w:eastAsia="仿宋" w:cs="仿宋"/>
                <w:sz w:val="24"/>
                <w:szCs w:val="24"/>
              </w:rPr>
            </w:pPr>
            <w:r>
              <w:rPr>
                <w:rFonts w:hint="eastAsia" w:ascii="仿宋" w:hAnsi="仿宋" w:eastAsia="仿宋" w:cs="仿宋"/>
                <w:sz w:val="24"/>
                <w:szCs w:val="24"/>
              </w:rPr>
              <w:t>技术转让</w:t>
            </w:r>
          </w:p>
        </w:tc>
        <w:tc>
          <w:tcPr>
            <w:tcW w:w="1371" w:type="dxa"/>
            <w:shd w:val="clear" w:color="auto" w:fill="auto"/>
            <w:vAlign w:val="center"/>
          </w:tcPr>
          <w:p w14:paraId="5955BE3A">
            <w:pPr>
              <w:keepNext w:val="0"/>
              <w:keepLines w:val="0"/>
              <w:pageBreakBefore w:val="0"/>
              <w:widowControl w:val="0"/>
              <w:kinsoku/>
              <w:wordWrap/>
              <w:overflowPunct/>
              <w:topLinePunct w:val="0"/>
              <w:autoSpaceDE/>
              <w:autoSpaceDN/>
              <w:bidi w:val="0"/>
              <w:adjustRightInd/>
              <w:spacing w:line="480" w:lineRule="auto"/>
              <w:jc w:val="center"/>
              <w:textAlignment w:val="auto"/>
              <w:rPr>
                <w:rFonts w:ascii="仿宋" w:hAnsi="仿宋" w:eastAsia="仿宋" w:cs="仿宋"/>
                <w:sz w:val="24"/>
                <w:szCs w:val="24"/>
              </w:rPr>
            </w:pPr>
            <w:r>
              <w:rPr>
                <w:rFonts w:hint="eastAsia" w:ascii="仿宋" w:hAnsi="仿宋" w:eastAsia="仿宋" w:cs="仿宋"/>
                <w:sz w:val="24"/>
                <w:szCs w:val="24"/>
              </w:rPr>
              <w:t>5</w:t>
            </w:r>
          </w:p>
        </w:tc>
        <w:tc>
          <w:tcPr>
            <w:tcW w:w="1285" w:type="dxa"/>
            <w:shd w:val="clear" w:color="auto" w:fill="auto"/>
            <w:vAlign w:val="center"/>
          </w:tcPr>
          <w:p w14:paraId="31E4FF4F">
            <w:pPr>
              <w:keepNext w:val="0"/>
              <w:keepLines w:val="0"/>
              <w:pageBreakBefore w:val="0"/>
              <w:widowControl w:val="0"/>
              <w:kinsoku/>
              <w:wordWrap/>
              <w:overflowPunct/>
              <w:topLinePunct w:val="0"/>
              <w:autoSpaceDE/>
              <w:autoSpaceDN/>
              <w:bidi w:val="0"/>
              <w:adjustRightInd/>
              <w:spacing w:line="480" w:lineRule="auto"/>
              <w:jc w:val="center"/>
              <w:textAlignment w:val="auto"/>
              <w:rPr>
                <w:rFonts w:ascii="仿宋" w:hAnsi="仿宋" w:eastAsia="仿宋" w:cs="仿宋"/>
                <w:snapToGrid w:val="0"/>
                <w:color w:val="000000"/>
                <w:spacing w:val="-3"/>
                <w:kern w:val="0"/>
                <w:sz w:val="24"/>
                <w:szCs w:val="24"/>
              </w:rPr>
            </w:pPr>
            <w:r>
              <w:rPr>
                <w:rFonts w:hint="eastAsia" w:ascii="仿宋" w:hAnsi="仿宋" w:eastAsia="仿宋" w:cs="仿宋"/>
                <w:snapToGrid w:val="0"/>
                <w:color w:val="000000"/>
                <w:spacing w:val="-3"/>
                <w:kern w:val="0"/>
                <w:sz w:val="24"/>
                <w:szCs w:val="24"/>
              </w:rPr>
              <w:t>江苏昊雄智能装备股份有限公司</w:t>
            </w:r>
          </w:p>
        </w:tc>
        <w:tc>
          <w:tcPr>
            <w:tcW w:w="786" w:type="dxa"/>
            <w:shd w:val="clear" w:color="auto" w:fill="auto"/>
            <w:vAlign w:val="center"/>
          </w:tcPr>
          <w:p w14:paraId="303FA4B2">
            <w:pPr>
              <w:keepNext w:val="0"/>
              <w:keepLines w:val="0"/>
              <w:pageBreakBefore w:val="0"/>
              <w:widowControl w:val="0"/>
              <w:kinsoku/>
              <w:wordWrap/>
              <w:overflowPunct/>
              <w:topLinePunct w:val="0"/>
              <w:autoSpaceDE/>
              <w:autoSpaceDN/>
              <w:bidi w:val="0"/>
              <w:adjustRightInd/>
              <w:spacing w:line="480" w:lineRule="auto"/>
              <w:jc w:val="center"/>
              <w:textAlignment w:val="auto"/>
              <w:rPr>
                <w:rFonts w:ascii="仿宋" w:hAnsi="仿宋" w:eastAsia="仿宋" w:cs="仿宋"/>
                <w:sz w:val="28"/>
                <w:szCs w:val="28"/>
              </w:rPr>
            </w:pPr>
          </w:p>
        </w:tc>
      </w:tr>
    </w:tbl>
    <w:p w14:paraId="3FD2FCA5"/>
    <w:p w14:paraId="02DA20C3"/>
    <w:p w14:paraId="3C09A10D">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386B9C"/>
    <w:rsid w:val="00996E52"/>
    <w:rsid w:val="0F2B62DD"/>
    <w:rsid w:val="1308507D"/>
    <w:rsid w:val="415E2C8C"/>
    <w:rsid w:val="50D852D8"/>
    <w:rsid w:val="58406388"/>
    <w:rsid w:val="7870237F"/>
    <w:rsid w:val="7E6815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218</Words>
  <Characters>225</Characters>
  <Lines>2</Lines>
  <Paragraphs>1</Paragraphs>
  <TotalTime>40</TotalTime>
  <ScaleCrop>false</ScaleCrop>
  <LinksUpToDate>false</LinksUpToDate>
  <CharactersWithSpaces>295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2026-03-02T08:26:18Z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