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255FEF"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郑州轻工业大学科研成果赋权情况表</w:t>
      </w:r>
    </w:p>
    <w:p w14:paraId="1138BBE6">
      <w:pPr>
        <w:spacing w:before="156" w:beforeLines="50"/>
        <w:jc w:val="center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                                                                  时间：202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年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30</w:t>
      </w:r>
      <w:r>
        <w:rPr>
          <w:rFonts w:hint="eastAsia" w:ascii="仿宋" w:hAnsi="仿宋" w:eastAsia="仿宋" w:cs="仿宋"/>
          <w:sz w:val="28"/>
          <w:szCs w:val="28"/>
        </w:rPr>
        <w:t>日</w:t>
      </w:r>
    </w:p>
    <w:tbl>
      <w:tblPr>
        <w:tblStyle w:val="2"/>
        <w:tblpPr w:leftFromText="180" w:rightFromText="180" w:vertAnchor="text" w:horzAnchor="page" w:tblpX="1551" w:tblpY="435"/>
        <w:tblOverlap w:val="never"/>
        <w:tblW w:w="138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4"/>
        <w:gridCol w:w="1265"/>
        <w:gridCol w:w="4111"/>
        <w:gridCol w:w="1418"/>
        <w:gridCol w:w="1850"/>
        <w:gridCol w:w="1207"/>
        <w:gridCol w:w="1371"/>
        <w:gridCol w:w="1285"/>
        <w:gridCol w:w="786"/>
      </w:tblGrid>
      <w:tr w14:paraId="2FB76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544" w:type="dxa"/>
            <w:shd w:val="clear" w:color="auto" w:fill="auto"/>
            <w:vAlign w:val="center"/>
          </w:tcPr>
          <w:p w14:paraId="7F4367F8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1265" w:type="dxa"/>
            <w:shd w:val="clear" w:color="auto" w:fill="auto"/>
            <w:vAlign w:val="center"/>
          </w:tcPr>
          <w:p w14:paraId="585BE869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成果名称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7A7155BB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成果内容摘要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0CBF58E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成果完成人</w:t>
            </w:r>
          </w:p>
        </w:tc>
        <w:tc>
          <w:tcPr>
            <w:tcW w:w="1850" w:type="dxa"/>
            <w:shd w:val="clear" w:color="auto" w:fill="auto"/>
            <w:vAlign w:val="center"/>
          </w:tcPr>
          <w:p w14:paraId="1B3F6B7F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赋权类型</w:t>
            </w:r>
          </w:p>
        </w:tc>
        <w:tc>
          <w:tcPr>
            <w:tcW w:w="1207" w:type="dxa"/>
            <w:shd w:val="clear" w:color="auto" w:fill="auto"/>
            <w:vAlign w:val="center"/>
          </w:tcPr>
          <w:p w14:paraId="088C4847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转化</w:t>
            </w:r>
          </w:p>
          <w:p w14:paraId="62FB80F9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方式</w:t>
            </w:r>
          </w:p>
        </w:tc>
        <w:tc>
          <w:tcPr>
            <w:tcW w:w="1371" w:type="dxa"/>
            <w:shd w:val="clear" w:color="auto" w:fill="auto"/>
            <w:vAlign w:val="center"/>
          </w:tcPr>
          <w:p w14:paraId="79FBDCAA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交易金额（万元）</w:t>
            </w:r>
          </w:p>
        </w:tc>
        <w:tc>
          <w:tcPr>
            <w:tcW w:w="1285" w:type="dxa"/>
            <w:shd w:val="clear" w:color="auto" w:fill="auto"/>
            <w:vAlign w:val="center"/>
          </w:tcPr>
          <w:p w14:paraId="1B9B2209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受让方</w:t>
            </w:r>
          </w:p>
        </w:tc>
        <w:tc>
          <w:tcPr>
            <w:tcW w:w="786" w:type="dxa"/>
            <w:shd w:val="clear" w:color="auto" w:fill="auto"/>
            <w:vAlign w:val="center"/>
          </w:tcPr>
          <w:p w14:paraId="11171CCF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</w:t>
            </w:r>
          </w:p>
        </w:tc>
      </w:tr>
      <w:tr w14:paraId="0A95F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9" w:hRule="atLeast"/>
        </w:trPr>
        <w:tc>
          <w:tcPr>
            <w:tcW w:w="544" w:type="dxa"/>
            <w:shd w:val="clear" w:color="auto" w:fill="auto"/>
            <w:vAlign w:val="center"/>
          </w:tcPr>
          <w:p w14:paraId="694FADCA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z w:val="18"/>
                <w:szCs w:val="18"/>
              </w:rPr>
              <w:t>1</w:t>
            </w:r>
          </w:p>
        </w:tc>
        <w:tc>
          <w:tcPr>
            <w:tcW w:w="1265" w:type="dxa"/>
            <w:shd w:val="clear" w:color="auto" w:fill="auto"/>
            <w:vAlign w:val="center"/>
          </w:tcPr>
          <w:p w14:paraId="7064F8F6">
            <w:pPr>
              <w:snapToGrid w:val="0"/>
              <w:spacing w:line="340" w:lineRule="atLeast"/>
              <w:jc w:val="center"/>
              <w:rPr>
                <w:rFonts w:ascii="仿宋" w:hAnsi="仿宋" w:eastAsia="仿宋" w:cs="仿宋"/>
                <w:snapToGrid w:val="0"/>
                <w:color w:val="000000"/>
                <w:spacing w:val="-4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一种处理低温等离子体-生物集成反应系统的使用方法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549D0C74">
            <w:pPr>
              <w:spacing w:before="78" w:line="340" w:lineRule="atLeast"/>
              <w:ind w:firstLine="360" w:firstLineChars="200"/>
              <w:jc w:val="left"/>
              <w:rPr>
                <w:rFonts w:ascii="仿宋" w:hAnsi="仿宋" w:eastAsia="仿宋" w:cs="仿宋"/>
                <w:snapToGrid w:val="0"/>
                <w:color w:val="000000"/>
                <w:spacing w:val="-4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仿宋"/>
                <w:sz w:val="18"/>
                <w:szCs w:val="18"/>
              </w:rPr>
              <w:t>本发明公开了一种处理有机废气的低温等离子体-生物集成反应系统及其使用方法，本发明装置由气路控制单元、与气路控制单元连接的反应系统、与反应系统连接的工艺参数监控辅助系统三部分组成。集气体流量精确控制、低温等离子体高效预处理、气-液-固三相高效反应于一体，具有二次污染小、控制精度高、安全性能优良、自动化程度高等明显优势。弥补了低温等离子体产物降解不彻底和生物法污染物负荷低等弊端，发挥各自所长。总体来讲，本发明所提供的一种处理有机废气的低温等离子体-生物集成反应系统利用PLC根据实时数据反馈动态调整自动精确调节放电电压和液气比等参数，可有效提高污染物处理精度和效率，长期运行稳定，解决二次污染，实现系统的自动化，废气和污染物处理能力明显提升。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F780BD1">
            <w:pPr>
              <w:snapToGrid w:val="0"/>
              <w:jc w:val="center"/>
              <w:rPr>
                <w:rFonts w:ascii="Times New Roman" w:hAnsi="Times New Roman" w:eastAsia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刘楠</w:t>
            </w:r>
            <w:r>
              <w:rPr>
                <w:rFonts w:ascii="Times New Roman" w:hAnsi="Times New Roman" w:eastAsia="仿宋"/>
                <w:sz w:val="18"/>
                <w:szCs w:val="18"/>
              </w:rPr>
              <w:t>，</w:t>
            </w:r>
          </w:p>
          <w:p w14:paraId="59534525">
            <w:pPr>
              <w:snapToGrid w:val="0"/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蔡雅兰</w:t>
            </w:r>
            <w:r>
              <w:rPr>
                <w:rFonts w:hint="eastAsia" w:ascii="Times New Roman" w:hAnsi="Times New Roman" w:eastAsia="仿宋"/>
                <w:sz w:val="18"/>
                <w:szCs w:val="18"/>
              </w:rPr>
              <w:t>，</w:t>
            </w:r>
          </w:p>
          <w:p w14:paraId="3AAF1F35">
            <w:pPr>
              <w:snapToGrid w:val="0"/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z w:val="18"/>
                <w:szCs w:val="18"/>
              </w:rPr>
              <w:t>苏东宇，</w:t>
            </w:r>
          </w:p>
          <w:p w14:paraId="4C7D40C5">
            <w:pPr>
              <w:snapToGrid w:val="0"/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李营营</w:t>
            </w:r>
            <w:r>
              <w:rPr>
                <w:rFonts w:hint="eastAsia" w:ascii="Times New Roman" w:hAnsi="Times New Roman" w:eastAsia="仿宋"/>
                <w:sz w:val="18"/>
                <w:szCs w:val="18"/>
              </w:rPr>
              <w:t>，</w:t>
            </w:r>
          </w:p>
          <w:p w14:paraId="29111D5B">
            <w:pPr>
              <w:snapToGrid w:val="0"/>
              <w:spacing w:line="340" w:lineRule="atLeast"/>
              <w:jc w:val="center"/>
              <w:rPr>
                <w:rFonts w:ascii="Times New Roman" w:hAnsi="Times New Roman" w:eastAsia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马闯</w:t>
            </w:r>
            <w:r>
              <w:rPr>
                <w:rFonts w:ascii="Times New Roman" w:hAnsi="Times New Roman" w:eastAsia="仿宋"/>
                <w:sz w:val="18"/>
                <w:szCs w:val="18"/>
              </w:rPr>
              <w:t>，</w:t>
            </w:r>
          </w:p>
          <w:p w14:paraId="1971CAC3">
            <w:pPr>
              <w:snapToGrid w:val="0"/>
              <w:spacing w:line="340" w:lineRule="atLeast"/>
              <w:jc w:val="center"/>
              <w:rPr>
                <w:rFonts w:ascii="仿宋" w:hAnsi="仿宋" w:eastAsia="仿宋" w:cs="仿宋"/>
                <w:snapToGrid w:val="0"/>
                <w:color w:val="000000"/>
                <w:spacing w:val="-4"/>
                <w:kern w:val="0"/>
                <w:sz w:val="18"/>
                <w:szCs w:val="18"/>
              </w:rPr>
            </w:pPr>
            <w:r>
              <w:rPr>
                <w:rFonts w:ascii="仿宋" w:hAnsi="仿宋" w:eastAsia="仿宋" w:cs="仿宋"/>
                <w:sz w:val="18"/>
                <w:szCs w:val="18"/>
              </w:rPr>
              <w:t>赵继红</w:t>
            </w:r>
          </w:p>
        </w:tc>
        <w:tc>
          <w:tcPr>
            <w:tcW w:w="1850" w:type="dxa"/>
            <w:shd w:val="clear" w:color="auto" w:fill="auto"/>
            <w:vAlign w:val="center"/>
          </w:tcPr>
          <w:p w14:paraId="03E9C5E4">
            <w:pPr>
              <w:snapToGrid w:val="0"/>
              <w:spacing w:line="340" w:lineRule="atLeast"/>
              <w:jc w:val="center"/>
              <w:rPr>
                <w:rFonts w:ascii="仿宋" w:hAnsi="仿宋" w:eastAsia="仿宋" w:cs="仿宋"/>
                <w:snapToGrid w:val="0"/>
                <w:color w:val="000000"/>
                <w:spacing w:val="-4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18"/>
                <w:szCs w:val="18"/>
              </w:rPr>
              <w:t>长期使用权（10年）</w:t>
            </w:r>
          </w:p>
        </w:tc>
        <w:tc>
          <w:tcPr>
            <w:tcW w:w="1207" w:type="dxa"/>
            <w:shd w:val="clear" w:color="auto" w:fill="auto"/>
            <w:vAlign w:val="center"/>
          </w:tcPr>
          <w:p w14:paraId="7B85D7A5">
            <w:pPr>
              <w:spacing w:line="340" w:lineRule="atLeast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技术许可</w:t>
            </w:r>
          </w:p>
        </w:tc>
        <w:tc>
          <w:tcPr>
            <w:tcW w:w="1371" w:type="dxa"/>
            <w:shd w:val="clear" w:color="auto" w:fill="auto"/>
            <w:vAlign w:val="center"/>
          </w:tcPr>
          <w:p w14:paraId="34803C09">
            <w:pPr>
              <w:spacing w:line="340" w:lineRule="atLeast"/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5</w:t>
            </w:r>
            <w:bookmarkStart w:id="0" w:name="_GoBack"/>
            <w:bookmarkEnd w:id="0"/>
          </w:p>
        </w:tc>
        <w:tc>
          <w:tcPr>
            <w:tcW w:w="1285" w:type="dxa"/>
            <w:shd w:val="clear" w:color="auto" w:fill="auto"/>
            <w:vAlign w:val="center"/>
          </w:tcPr>
          <w:p w14:paraId="71EB808D">
            <w:pPr>
              <w:spacing w:line="340" w:lineRule="atLeast"/>
              <w:jc w:val="center"/>
              <w:rPr>
                <w:rFonts w:ascii="仿宋" w:hAnsi="仿宋" w:eastAsia="仿宋" w:cs="仿宋"/>
                <w:snapToGrid w:val="0"/>
                <w:color w:val="000000"/>
                <w:spacing w:val="-3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18"/>
                <w:szCs w:val="18"/>
              </w:rPr>
              <w:t>河南分析色谱生物科技有限公司</w:t>
            </w:r>
          </w:p>
        </w:tc>
        <w:tc>
          <w:tcPr>
            <w:tcW w:w="786" w:type="dxa"/>
            <w:shd w:val="clear" w:color="auto" w:fill="auto"/>
            <w:vAlign w:val="center"/>
          </w:tcPr>
          <w:p w14:paraId="4C9686C4">
            <w:pPr>
              <w:spacing w:line="340" w:lineRule="atLeast"/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</w:p>
        </w:tc>
      </w:tr>
    </w:tbl>
    <w:p w14:paraId="4C64AA4A">
      <w:pPr>
        <w:rPr>
          <w:sz w:val="18"/>
          <w:szCs w:val="18"/>
        </w:rPr>
      </w:pPr>
    </w:p>
    <w:p w14:paraId="47997DF6">
      <w:pPr>
        <w:rPr>
          <w:rFonts w:hint="eastAsia" w:eastAsia="宋体"/>
          <w:sz w:val="18"/>
          <w:szCs w:val="18"/>
          <w:lang w:val="en-US" w:eastAsia="zh-CN"/>
        </w:rPr>
      </w:pPr>
      <w:r>
        <w:rPr>
          <w:rFonts w:hint="eastAsia"/>
          <w:sz w:val="18"/>
          <w:szCs w:val="18"/>
          <w:lang w:val="en-US" w:eastAsia="zh-CN"/>
        </w:rPr>
        <w:t xml:space="preserve"> </w:t>
      </w:r>
    </w:p>
    <w:p w14:paraId="67EE74FA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WQ1ZmM5M2NiYzViNjc4ZWU1ODNmMjFmYjE5YjlkNzIifQ=="/>
  </w:docVars>
  <w:rsids>
    <w:rsidRoot w:val="1308507D"/>
    <w:rsid w:val="002529A5"/>
    <w:rsid w:val="00C46523"/>
    <w:rsid w:val="0F2B62DD"/>
    <w:rsid w:val="1308507D"/>
    <w:rsid w:val="415E2C8C"/>
    <w:rsid w:val="50D852D8"/>
    <w:rsid w:val="58406388"/>
    <w:rsid w:val="7870237F"/>
    <w:rsid w:val="7DA03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apple</Company>
  <Pages>2</Pages>
  <Words>466</Words>
  <Characters>472</Characters>
  <Lines>4</Lines>
  <Paragraphs>1</Paragraphs>
  <TotalTime>4</TotalTime>
  <ScaleCrop>false</ScaleCrop>
  <LinksUpToDate>false</LinksUpToDate>
  <CharactersWithSpaces>542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2026-04-29T12:25:00Z</dcterms:created>
  <dc:creator>文档存本地丢失不负责</dc:creator>
  <cp:lastModifiedBy>鲍雅如</cp:lastModifiedBy>
  <cp:lastPrinted>2022-07-25T02:39:00Z</cp:lastPrinted>
  <dcterms:modified xsi:type="dcterms:W3CDTF">2026-04-30T08:24:03Z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04E34C3E7BF5406E98A6D3A2BBB78A85_13</vt:lpwstr>
  </property>
  <property fmtid="{D5CDD505-2E9C-101B-9397-08002B2CF9AE}" pid="4" name="KSOTemplateDocerSaveRecord">
    <vt:lpwstr>eyJoZGlkIjoiNjRiMWNhNzcyYTNmZTkwZTQxMjQ2NTA4NDVmOGU4OGYiLCJ1c2VySWQiOiIzMDA5MzIwNzcifQ==</vt:lpwstr>
  </property>
</Properties>
</file>