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110F3">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42941936">
      <w:pPr>
        <w:spacing w:before="156" w:beforeLines="50"/>
        <w:jc w:val="center"/>
        <w:rPr>
          <w:rFonts w:hint="eastAsia" w:ascii="仿宋" w:hAnsi="仿宋" w:eastAsia="仿宋" w:cs="仿宋"/>
          <w:sz w:val="28"/>
          <w:szCs w:val="28"/>
        </w:rPr>
      </w:pPr>
      <w:r>
        <w:rPr>
          <w:rFonts w:hint="eastAsia" w:ascii="仿宋" w:hAnsi="仿宋" w:eastAsia="仿宋" w:cs="仿宋"/>
          <w:sz w:val="28"/>
          <w:szCs w:val="28"/>
        </w:rPr>
        <w:t xml:space="preserve">                                                                      时间：2025年11月</w:t>
      </w:r>
      <w:r>
        <w:rPr>
          <w:rFonts w:hint="eastAsia" w:ascii="仿宋" w:hAnsi="仿宋" w:eastAsia="仿宋" w:cs="仿宋"/>
          <w:sz w:val="28"/>
          <w:szCs w:val="28"/>
          <w:lang w:val="en-US" w:eastAsia="zh-CN"/>
        </w:rPr>
        <w:t>20</w:t>
      </w:r>
      <w:bookmarkStart w:id="0" w:name="_GoBack"/>
      <w:bookmarkEnd w:id="0"/>
      <w:r>
        <w:rPr>
          <w:rFonts w:hint="eastAsia" w:ascii="仿宋" w:hAnsi="仿宋" w:eastAsia="仿宋" w:cs="仿宋"/>
          <w:sz w:val="28"/>
          <w:szCs w:val="28"/>
        </w:rPr>
        <w:t>日</w:t>
      </w:r>
    </w:p>
    <w:tbl>
      <w:tblPr>
        <w:tblStyle w:val="4"/>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974"/>
        <w:gridCol w:w="2268"/>
        <w:gridCol w:w="1395"/>
        <w:gridCol w:w="3007"/>
        <w:gridCol w:w="1207"/>
        <w:gridCol w:w="1195"/>
        <w:gridCol w:w="1461"/>
        <w:gridCol w:w="786"/>
      </w:tblGrid>
      <w:tr w14:paraId="76D4A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vAlign w:val="center"/>
          </w:tcPr>
          <w:p w14:paraId="46980BC7">
            <w:pPr>
              <w:snapToGrid w:val="0"/>
              <w:spacing w:line="340" w:lineRule="atLeast"/>
              <w:jc w:val="center"/>
              <w:rPr>
                <w:rFonts w:hint="eastAsia" w:ascii="黑体" w:hAnsi="黑体" w:eastAsia="黑体" w:cs="黑体"/>
                <w:sz w:val="24"/>
              </w:rPr>
            </w:pPr>
            <w:r>
              <w:rPr>
                <w:rFonts w:hint="eastAsia" w:ascii="黑体" w:hAnsi="黑体" w:eastAsia="黑体" w:cs="黑体"/>
                <w:sz w:val="24"/>
              </w:rPr>
              <w:t>序号</w:t>
            </w:r>
          </w:p>
        </w:tc>
        <w:tc>
          <w:tcPr>
            <w:tcW w:w="1974" w:type="dxa"/>
            <w:vAlign w:val="center"/>
          </w:tcPr>
          <w:p w14:paraId="52089EFE">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成果名称</w:t>
            </w:r>
          </w:p>
        </w:tc>
        <w:tc>
          <w:tcPr>
            <w:tcW w:w="2268" w:type="dxa"/>
            <w:vAlign w:val="center"/>
          </w:tcPr>
          <w:p w14:paraId="2FC85DFA">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成果内容摘要</w:t>
            </w:r>
          </w:p>
        </w:tc>
        <w:tc>
          <w:tcPr>
            <w:tcW w:w="1395" w:type="dxa"/>
            <w:vAlign w:val="center"/>
          </w:tcPr>
          <w:p w14:paraId="34CA0248">
            <w:pPr>
              <w:snapToGrid w:val="0"/>
              <w:spacing w:line="340" w:lineRule="atLeast"/>
              <w:jc w:val="center"/>
              <w:rPr>
                <w:rFonts w:hint="eastAsia" w:ascii="黑体" w:hAnsi="黑体" w:eastAsia="黑体" w:cs="黑体"/>
                <w:sz w:val="24"/>
              </w:rPr>
            </w:pPr>
            <w:r>
              <w:rPr>
                <w:rFonts w:hint="eastAsia" w:ascii="黑体" w:hAnsi="黑体" w:eastAsia="黑体" w:cs="黑体"/>
                <w:sz w:val="24"/>
              </w:rPr>
              <w:t>成果完成人</w:t>
            </w:r>
          </w:p>
        </w:tc>
        <w:tc>
          <w:tcPr>
            <w:tcW w:w="3007" w:type="dxa"/>
            <w:vAlign w:val="center"/>
          </w:tcPr>
          <w:p w14:paraId="44C6626B">
            <w:pPr>
              <w:snapToGrid w:val="0"/>
              <w:spacing w:line="340" w:lineRule="atLeast"/>
              <w:jc w:val="center"/>
              <w:rPr>
                <w:rFonts w:hint="eastAsia" w:ascii="黑体" w:hAnsi="黑体" w:eastAsia="黑体" w:cs="黑体"/>
                <w:sz w:val="24"/>
              </w:rPr>
            </w:pPr>
            <w:r>
              <w:rPr>
                <w:rFonts w:hint="eastAsia" w:ascii="黑体" w:hAnsi="黑体" w:eastAsia="黑体" w:cs="黑体"/>
                <w:sz w:val="24"/>
              </w:rPr>
              <w:t>赋权类型</w:t>
            </w:r>
          </w:p>
        </w:tc>
        <w:tc>
          <w:tcPr>
            <w:tcW w:w="1207" w:type="dxa"/>
            <w:vAlign w:val="center"/>
          </w:tcPr>
          <w:p w14:paraId="09BA69AF">
            <w:pPr>
              <w:snapToGrid w:val="0"/>
              <w:spacing w:line="340" w:lineRule="atLeast"/>
              <w:jc w:val="center"/>
              <w:rPr>
                <w:rFonts w:hint="eastAsia" w:ascii="黑体" w:hAnsi="黑体" w:eastAsia="黑体" w:cs="黑体"/>
                <w:sz w:val="24"/>
              </w:rPr>
            </w:pPr>
            <w:r>
              <w:rPr>
                <w:rFonts w:hint="eastAsia" w:ascii="黑体" w:hAnsi="黑体" w:eastAsia="黑体" w:cs="黑体"/>
                <w:sz w:val="24"/>
              </w:rPr>
              <w:t>转化</w:t>
            </w:r>
          </w:p>
          <w:p w14:paraId="4F7504A3">
            <w:pPr>
              <w:snapToGrid w:val="0"/>
              <w:spacing w:line="340" w:lineRule="atLeast"/>
              <w:jc w:val="center"/>
              <w:rPr>
                <w:rFonts w:hint="eastAsia" w:ascii="黑体" w:hAnsi="黑体" w:eastAsia="黑体" w:cs="黑体"/>
                <w:sz w:val="24"/>
              </w:rPr>
            </w:pPr>
            <w:r>
              <w:rPr>
                <w:rFonts w:hint="eastAsia" w:ascii="黑体" w:hAnsi="黑体" w:eastAsia="黑体" w:cs="黑体"/>
                <w:sz w:val="24"/>
              </w:rPr>
              <w:t>方式</w:t>
            </w:r>
          </w:p>
        </w:tc>
        <w:tc>
          <w:tcPr>
            <w:tcW w:w="1195" w:type="dxa"/>
            <w:vAlign w:val="center"/>
          </w:tcPr>
          <w:p w14:paraId="573FC58B">
            <w:pPr>
              <w:snapToGrid w:val="0"/>
              <w:spacing w:line="340" w:lineRule="atLeast"/>
              <w:jc w:val="center"/>
              <w:rPr>
                <w:rFonts w:hint="eastAsia" w:ascii="黑体" w:hAnsi="黑体" w:eastAsia="黑体" w:cs="黑体"/>
                <w:sz w:val="24"/>
              </w:rPr>
            </w:pPr>
            <w:r>
              <w:rPr>
                <w:rFonts w:hint="eastAsia" w:ascii="黑体" w:hAnsi="黑体" w:eastAsia="黑体" w:cs="黑体"/>
                <w:sz w:val="24"/>
              </w:rPr>
              <w:t>交易金额（万元）</w:t>
            </w:r>
          </w:p>
        </w:tc>
        <w:tc>
          <w:tcPr>
            <w:tcW w:w="1461" w:type="dxa"/>
            <w:vAlign w:val="center"/>
          </w:tcPr>
          <w:p w14:paraId="448A47A7">
            <w:pPr>
              <w:snapToGrid w:val="0"/>
              <w:spacing w:line="340" w:lineRule="atLeast"/>
              <w:jc w:val="center"/>
              <w:rPr>
                <w:rFonts w:hint="eastAsia" w:ascii="黑体" w:hAnsi="黑体" w:eastAsia="黑体" w:cs="黑体"/>
                <w:sz w:val="24"/>
              </w:rPr>
            </w:pPr>
            <w:r>
              <w:rPr>
                <w:rFonts w:hint="eastAsia" w:ascii="黑体" w:hAnsi="黑体" w:eastAsia="黑体" w:cs="黑体"/>
                <w:sz w:val="24"/>
              </w:rPr>
              <w:t>受让方</w:t>
            </w:r>
          </w:p>
        </w:tc>
        <w:tc>
          <w:tcPr>
            <w:tcW w:w="786" w:type="dxa"/>
            <w:vAlign w:val="center"/>
          </w:tcPr>
          <w:p w14:paraId="07EBA990">
            <w:pPr>
              <w:snapToGrid w:val="0"/>
              <w:spacing w:line="340" w:lineRule="atLeast"/>
              <w:jc w:val="center"/>
              <w:rPr>
                <w:rFonts w:hint="eastAsia" w:ascii="黑体" w:hAnsi="黑体" w:eastAsia="黑体" w:cs="黑体"/>
                <w:sz w:val="24"/>
              </w:rPr>
            </w:pPr>
            <w:r>
              <w:rPr>
                <w:rFonts w:hint="eastAsia" w:ascii="黑体" w:hAnsi="黑体" w:eastAsia="黑体" w:cs="黑体"/>
                <w:sz w:val="24"/>
              </w:rPr>
              <w:t>备注</w:t>
            </w:r>
          </w:p>
        </w:tc>
      </w:tr>
      <w:tr w14:paraId="7CA1A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8546EC9">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1</w:t>
            </w:r>
          </w:p>
        </w:tc>
        <w:tc>
          <w:tcPr>
            <w:tcW w:w="1974" w:type="dxa"/>
            <w:vAlign w:val="center"/>
          </w:tcPr>
          <w:p w14:paraId="3A2AFFF1">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室温多铁材料Ba</w:t>
            </w:r>
            <w:r>
              <w:rPr>
                <w:rFonts w:hint="eastAsia" w:ascii="宋体" w:hAnsi="宋体" w:eastAsia="宋体" w:cs="宋体"/>
                <w:snapToGrid w:val="0"/>
                <w:color w:val="000000"/>
                <w:spacing w:val="-4"/>
                <w:kern w:val="0"/>
                <w:sz w:val="20"/>
                <w:szCs w:val="20"/>
                <w:vertAlign w:val="subscript"/>
              </w:rPr>
              <w:t>4</w:t>
            </w:r>
            <w:r>
              <w:rPr>
                <w:rFonts w:hint="eastAsia" w:ascii="宋体" w:hAnsi="宋体" w:eastAsia="宋体" w:cs="宋体"/>
                <w:snapToGrid w:val="0"/>
                <w:color w:val="000000"/>
                <w:spacing w:val="-4"/>
                <w:kern w:val="0"/>
                <w:sz w:val="20"/>
                <w:szCs w:val="20"/>
              </w:rPr>
              <w:t>SmFe</w:t>
            </w:r>
            <w:r>
              <w:rPr>
                <w:rFonts w:hint="eastAsia" w:ascii="宋体" w:hAnsi="宋体" w:eastAsia="宋体" w:cs="宋体"/>
                <w:snapToGrid w:val="0"/>
                <w:color w:val="000000"/>
                <w:spacing w:val="-4"/>
                <w:kern w:val="0"/>
                <w:sz w:val="20"/>
                <w:szCs w:val="20"/>
                <w:vertAlign w:val="subscript"/>
              </w:rPr>
              <w:t>0.5</w:t>
            </w:r>
            <w:r>
              <w:rPr>
                <w:rFonts w:hint="eastAsia" w:ascii="宋体" w:hAnsi="宋体" w:eastAsia="宋体" w:cs="宋体"/>
                <w:snapToGrid w:val="0"/>
                <w:color w:val="000000"/>
                <w:spacing w:val="-4"/>
                <w:kern w:val="0"/>
                <w:sz w:val="20"/>
                <w:szCs w:val="20"/>
              </w:rPr>
              <w:t>Nb</w:t>
            </w:r>
            <w:r>
              <w:rPr>
                <w:rFonts w:hint="eastAsia" w:ascii="宋体" w:hAnsi="宋体" w:eastAsia="宋体" w:cs="宋体"/>
                <w:snapToGrid w:val="0"/>
                <w:color w:val="000000"/>
                <w:spacing w:val="-4"/>
                <w:kern w:val="0"/>
                <w:sz w:val="20"/>
                <w:szCs w:val="20"/>
                <w:vertAlign w:val="subscript"/>
              </w:rPr>
              <w:t>9.5</w:t>
            </w:r>
            <w:r>
              <w:rPr>
                <w:rFonts w:hint="eastAsia" w:ascii="宋体" w:hAnsi="宋体" w:eastAsia="宋体" w:cs="宋体"/>
                <w:snapToGrid w:val="0"/>
                <w:color w:val="000000"/>
                <w:spacing w:val="-4"/>
                <w:kern w:val="0"/>
                <w:sz w:val="20"/>
                <w:szCs w:val="20"/>
              </w:rPr>
              <w:t>O</w:t>
            </w:r>
            <w:r>
              <w:rPr>
                <w:rFonts w:hint="eastAsia" w:ascii="宋体" w:hAnsi="宋体" w:eastAsia="宋体" w:cs="宋体"/>
                <w:snapToGrid w:val="0"/>
                <w:color w:val="000000"/>
                <w:spacing w:val="-4"/>
                <w:kern w:val="0"/>
                <w:sz w:val="20"/>
                <w:szCs w:val="20"/>
                <w:vertAlign w:val="subscript"/>
              </w:rPr>
              <w:t>30</w:t>
            </w:r>
            <w:r>
              <w:rPr>
                <w:rFonts w:hint="eastAsia" w:ascii="宋体" w:hAnsi="宋体" w:eastAsia="宋体" w:cs="宋体"/>
                <w:snapToGrid w:val="0"/>
                <w:color w:val="000000"/>
                <w:spacing w:val="-4"/>
                <w:kern w:val="0"/>
                <w:sz w:val="20"/>
                <w:szCs w:val="20"/>
              </w:rPr>
              <w:t>的制备方法及制得的室温多铁材料</w:t>
            </w:r>
          </w:p>
        </w:tc>
        <w:tc>
          <w:tcPr>
            <w:tcW w:w="2268" w:type="dxa"/>
            <w:vAlign w:val="center"/>
          </w:tcPr>
          <w:p w14:paraId="1EA9A21C">
            <w:pPr>
              <w:keepNext w:val="0"/>
              <w:keepLines w:val="0"/>
              <w:pageBreakBefore w:val="0"/>
              <w:kinsoku/>
              <w:wordWrap/>
              <w:overflowPunct/>
              <w:topLinePunct w:val="0"/>
              <w:autoSpaceDE/>
              <w:autoSpaceDN/>
              <w:bidi w:val="0"/>
              <w:adjustRightInd/>
              <w:spacing w:line="640" w:lineRule="exact"/>
              <w:ind w:firstLine="400" w:firstLineChars="200"/>
              <w:jc w:val="center"/>
              <w:textAlignment w:val="auto"/>
              <w:rPr>
                <w:rFonts w:hint="eastAsia" w:ascii="宋体" w:hAnsi="宋体" w:eastAsia="宋体" w:cs="宋体"/>
                <w:sz w:val="20"/>
                <w:szCs w:val="20"/>
              </w:rPr>
            </w:pPr>
            <w:r>
              <w:rPr>
                <w:rFonts w:hint="eastAsia" w:ascii="宋体" w:hAnsi="宋体" w:eastAsia="宋体" w:cs="宋体"/>
                <w:sz w:val="20"/>
                <w:szCs w:val="20"/>
              </w:rPr>
              <w:t>本发明通过磁性离子的引入为材料引入室温铁磁性，打破低温限制，实现铁磁/铁电的室温共存。使得该材料具有理想的室温多铁性，为使用器件的设计、开发奠定了一定基础。</w:t>
            </w:r>
          </w:p>
        </w:tc>
        <w:tc>
          <w:tcPr>
            <w:tcW w:w="1395" w:type="dxa"/>
            <w:vAlign w:val="center"/>
          </w:tcPr>
          <w:p w14:paraId="6CBCD2AD">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王永强，龚高尚</w:t>
            </w:r>
          </w:p>
        </w:tc>
        <w:tc>
          <w:tcPr>
            <w:tcW w:w="3007" w:type="dxa"/>
            <w:vAlign w:val="center"/>
          </w:tcPr>
          <w:p w14:paraId="22EB3421">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长期使用权（10年）、所有权（学校10%，成果完成团队90%）</w:t>
            </w:r>
          </w:p>
        </w:tc>
        <w:tc>
          <w:tcPr>
            <w:tcW w:w="1207" w:type="dxa"/>
            <w:vAlign w:val="center"/>
          </w:tcPr>
          <w:p w14:paraId="42DE3EF2">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技术许可</w:t>
            </w:r>
          </w:p>
        </w:tc>
        <w:tc>
          <w:tcPr>
            <w:tcW w:w="1195" w:type="dxa"/>
            <w:vAlign w:val="center"/>
          </w:tcPr>
          <w:p w14:paraId="6321ABFE">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30</w:t>
            </w:r>
          </w:p>
        </w:tc>
        <w:tc>
          <w:tcPr>
            <w:tcW w:w="1461" w:type="dxa"/>
            <w:vAlign w:val="center"/>
          </w:tcPr>
          <w:p w14:paraId="1DD02690">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rPr>
            </w:pPr>
            <w:r>
              <w:rPr>
                <w:rFonts w:hint="eastAsia" w:ascii="宋体" w:hAnsi="宋体" w:eastAsia="宋体" w:cs="宋体"/>
                <w:sz w:val="20"/>
                <w:szCs w:val="20"/>
              </w:rPr>
              <w:t>河南锦时新材料技术有限公司</w:t>
            </w:r>
          </w:p>
        </w:tc>
        <w:tc>
          <w:tcPr>
            <w:tcW w:w="786" w:type="dxa"/>
            <w:vAlign w:val="center"/>
          </w:tcPr>
          <w:p w14:paraId="55641C62">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r>
      <w:tr w14:paraId="792D1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16A30DA">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2</w:t>
            </w:r>
          </w:p>
        </w:tc>
        <w:tc>
          <w:tcPr>
            <w:tcW w:w="1974" w:type="dxa"/>
            <w:vAlign w:val="center"/>
          </w:tcPr>
          <w:p w14:paraId="41E10A77">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pacing w:val="5"/>
                <w:position w:val="6"/>
                <w:sz w:val="20"/>
                <w:szCs w:val="20"/>
              </w:rPr>
              <w:t>一种钬掺杂铁酸铜多铁陶瓷及其制备方法</w:t>
            </w:r>
          </w:p>
        </w:tc>
        <w:tc>
          <w:tcPr>
            <w:tcW w:w="2268" w:type="dxa"/>
            <w:vAlign w:val="center"/>
          </w:tcPr>
          <w:p w14:paraId="715B46F4">
            <w:pPr>
              <w:keepNext w:val="0"/>
              <w:keepLines w:val="0"/>
              <w:pageBreakBefore w:val="0"/>
              <w:kinsoku/>
              <w:wordWrap/>
              <w:overflowPunct/>
              <w:topLinePunct w:val="0"/>
              <w:autoSpaceDE/>
              <w:autoSpaceDN/>
              <w:bidi w:val="0"/>
              <w:adjustRightInd/>
              <w:spacing w:before="78" w:line="640" w:lineRule="exact"/>
              <w:ind w:firstLine="400" w:firstLineChars="200"/>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z w:val="20"/>
                <w:szCs w:val="20"/>
              </w:rPr>
              <w:t>本发明公开了一种钬掺杂铁酸铜多铁陶瓷及其制备方法，该材料具有铁电/介电、磁性以及磁电耦合等多铁性特征，可应用于自旋电子器件、电容器、信息存储器、磁电传感器等电子器件。解决铁酸铜材料介电性能弱、损耗高、磁性弱、磁电耦合不明显的缺点。</w:t>
            </w:r>
          </w:p>
        </w:tc>
        <w:tc>
          <w:tcPr>
            <w:tcW w:w="1395" w:type="dxa"/>
            <w:vAlign w:val="center"/>
          </w:tcPr>
          <w:p w14:paraId="55BDE2AB">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z w:val="20"/>
                <w:szCs w:val="20"/>
              </w:rPr>
              <w:t>代海洋，龚高尚，王曼曼，尚翠，谢罗刚，李涛，陈靖，李子炯</w:t>
            </w:r>
          </w:p>
        </w:tc>
        <w:tc>
          <w:tcPr>
            <w:tcW w:w="3007" w:type="dxa"/>
            <w:vAlign w:val="center"/>
          </w:tcPr>
          <w:p w14:paraId="70ADA6D7">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长期使用权（10年）、所有权（学校10%，成果完成团队90%）</w:t>
            </w:r>
          </w:p>
        </w:tc>
        <w:tc>
          <w:tcPr>
            <w:tcW w:w="1207" w:type="dxa"/>
            <w:vAlign w:val="center"/>
          </w:tcPr>
          <w:p w14:paraId="1BCC7866">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技术许可</w:t>
            </w:r>
          </w:p>
          <w:p w14:paraId="50E67573">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c>
          <w:tcPr>
            <w:tcW w:w="1195" w:type="dxa"/>
            <w:vAlign w:val="center"/>
          </w:tcPr>
          <w:p w14:paraId="3434939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3.2</w:t>
            </w:r>
          </w:p>
        </w:tc>
        <w:tc>
          <w:tcPr>
            <w:tcW w:w="1461" w:type="dxa"/>
            <w:vAlign w:val="center"/>
          </w:tcPr>
          <w:p w14:paraId="6010023E">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rPr>
            </w:pPr>
            <w:r>
              <w:rPr>
                <w:rFonts w:hint="eastAsia" w:ascii="宋体" w:hAnsi="宋体" w:eastAsia="宋体" w:cs="宋体"/>
                <w:sz w:val="20"/>
                <w:szCs w:val="20"/>
              </w:rPr>
              <w:t>河南锦时新材料技术有限公司</w:t>
            </w:r>
          </w:p>
        </w:tc>
        <w:tc>
          <w:tcPr>
            <w:tcW w:w="786" w:type="dxa"/>
            <w:vAlign w:val="center"/>
          </w:tcPr>
          <w:p w14:paraId="6132E94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r>
      <w:tr w14:paraId="1C639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517B30EE">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3</w:t>
            </w:r>
          </w:p>
        </w:tc>
        <w:tc>
          <w:tcPr>
            <w:tcW w:w="1974" w:type="dxa"/>
            <w:vAlign w:val="center"/>
          </w:tcPr>
          <w:p w14:paraId="7E10F918">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z w:val="20"/>
                <w:szCs w:val="20"/>
              </w:rPr>
              <w:t>一种具有弛豫铁电特性的无铅多铁材料及其制备方法</w:t>
            </w:r>
          </w:p>
        </w:tc>
        <w:tc>
          <w:tcPr>
            <w:tcW w:w="2268" w:type="dxa"/>
            <w:vAlign w:val="center"/>
          </w:tcPr>
          <w:p w14:paraId="6C30F75E">
            <w:pPr>
              <w:keepNext w:val="0"/>
              <w:keepLines w:val="0"/>
              <w:pageBreakBefore w:val="0"/>
              <w:kinsoku/>
              <w:wordWrap/>
              <w:overflowPunct/>
              <w:topLinePunct w:val="0"/>
              <w:autoSpaceDE/>
              <w:autoSpaceDN/>
              <w:bidi w:val="0"/>
              <w:adjustRightInd/>
              <w:spacing w:before="78" w:line="640" w:lineRule="exact"/>
              <w:ind w:firstLine="400" w:firstLineChars="200"/>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z w:val="20"/>
                <w:szCs w:val="20"/>
              </w:rPr>
              <w:t>发明公开了一种具有弛豫铁电特性的无铅多铁材料及其制备方法，可替代铅基材料等电子器件。并在多态数据存储方面具有重要应用，有效解决当前磁存储写入慢、耗能高的缺点。</w:t>
            </w:r>
          </w:p>
        </w:tc>
        <w:tc>
          <w:tcPr>
            <w:tcW w:w="1395" w:type="dxa"/>
            <w:vAlign w:val="center"/>
          </w:tcPr>
          <w:p w14:paraId="2D8EAF7C">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龚高尚，周进，段亚然，王永强，苏玉玲</w:t>
            </w:r>
          </w:p>
        </w:tc>
        <w:tc>
          <w:tcPr>
            <w:tcW w:w="3007" w:type="dxa"/>
            <w:vAlign w:val="center"/>
          </w:tcPr>
          <w:p w14:paraId="55EEF5E5">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rPr>
            </w:pPr>
            <w:r>
              <w:rPr>
                <w:rFonts w:hint="eastAsia" w:ascii="宋体" w:hAnsi="宋体" w:eastAsia="宋体" w:cs="宋体"/>
                <w:snapToGrid w:val="0"/>
                <w:color w:val="000000"/>
                <w:spacing w:val="-4"/>
                <w:kern w:val="0"/>
                <w:sz w:val="20"/>
                <w:szCs w:val="20"/>
              </w:rPr>
              <w:t>长期使用权（10年）、所有权（学校10%，成果完成团队90%）</w:t>
            </w:r>
          </w:p>
        </w:tc>
        <w:tc>
          <w:tcPr>
            <w:tcW w:w="1207" w:type="dxa"/>
            <w:vAlign w:val="center"/>
          </w:tcPr>
          <w:p w14:paraId="3352649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技术许可</w:t>
            </w:r>
          </w:p>
          <w:p w14:paraId="4B5C47D4">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c>
          <w:tcPr>
            <w:tcW w:w="1195" w:type="dxa"/>
            <w:vAlign w:val="center"/>
          </w:tcPr>
          <w:p w14:paraId="2E3C709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3.5</w:t>
            </w:r>
          </w:p>
        </w:tc>
        <w:tc>
          <w:tcPr>
            <w:tcW w:w="1461" w:type="dxa"/>
            <w:vAlign w:val="center"/>
          </w:tcPr>
          <w:p w14:paraId="5FB87C97">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rPr>
            </w:pPr>
            <w:r>
              <w:rPr>
                <w:rFonts w:hint="eastAsia" w:ascii="宋体" w:hAnsi="宋体" w:eastAsia="宋体" w:cs="宋体"/>
                <w:sz w:val="20"/>
                <w:szCs w:val="20"/>
              </w:rPr>
              <w:t>河南锦时新材料技术有限公司</w:t>
            </w:r>
          </w:p>
        </w:tc>
        <w:tc>
          <w:tcPr>
            <w:tcW w:w="786" w:type="dxa"/>
            <w:vAlign w:val="center"/>
          </w:tcPr>
          <w:p w14:paraId="439092FC">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r>
      <w:tr w14:paraId="5F9E8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C091E11">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4</w:t>
            </w:r>
          </w:p>
        </w:tc>
        <w:tc>
          <w:tcPr>
            <w:tcW w:w="1974" w:type="dxa"/>
            <w:shd w:val="clear" w:color="auto" w:fill="auto"/>
            <w:vAlign w:val="center"/>
          </w:tcPr>
          <w:p w14:paraId="70078519">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一种基于腐蚀的分级模拟退火建模方法</w:t>
            </w:r>
          </w:p>
        </w:tc>
        <w:tc>
          <w:tcPr>
            <w:tcW w:w="2268" w:type="dxa"/>
            <w:shd w:val="clear" w:color="auto" w:fill="auto"/>
            <w:vAlign w:val="center"/>
          </w:tcPr>
          <w:p w14:paraId="78788680">
            <w:pPr>
              <w:keepNext w:val="0"/>
              <w:keepLines w:val="0"/>
              <w:pageBreakBefore w:val="0"/>
              <w:kinsoku/>
              <w:wordWrap/>
              <w:overflowPunct/>
              <w:topLinePunct w:val="0"/>
              <w:autoSpaceDE/>
              <w:autoSpaceDN/>
              <w:bidi w:val="0"/>
              <w:adjustRightInd/>
              <w:snapToGrid w:val="0"/>
              <w:spacing w:before="100" w:beforeAutospacing="1" w:after="100" w:afterAutospacing="1" w:line="640" w:lineRule="exact"/>
              <w:ind w:firstLine="400" w:firstLineChars="200"/>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本发明提供一种基于腐蚀的分级模拟退火建模方法，该算法是一种融合多尺度分析、形态学腐蚀操作与模拟退火优化的高精度建模技术，核心用于从二维图像重建具有真实微观结构特征的三维模型，尤其在数字岩心建模领域展现出显著优势。该方法本质是通过尺度递阶优化与形态学约束，解决传统模拟退火建模中计算效率低及细尺度细节丢失的关键问题，实现从宏观框架到微观细节的精准重建。</w:t>
            </w:r>
          </w:p>
        </w:tc>
        <w:tc>
          <w:tcPr>
            <w:tcW w:w="1395" w:type="dxa"/>
            <w:shd w:val="clear" w:color="auto" w:fill="auto"/>
            <w:vAlign w:val="center"/>
          </w:tcPr>
          <w:p w14:paraId="3C059705">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陈冬冬</w:t>
            </w:r>
            <w:r>
              <w:rPr>
                <w:rFonts w:hint="eastAsia" w:ascii="宋体" w:hAnsi="宋体" w:eastAsia="宋体" w:cs="宋体"/>
                <w:sz w:val="20"/>
                <w:szCs w:val="20"/>
                <w:lang w:val="en-US" w:eastAsia="zh-CN"/>
              </w:rPr>
              <w:t>,</w:t>
            </w:r>
            <w:r>
              <w:rPr>
                <w:rFonts w:hint="eastAsia" w:ascii="宋体" w:hAnsi="宋体" w:eastAsia="宋体" w:cs="宋体"/>
                <w:sz w:val="20"/>
                <w:szCs w:val="20"/>
              </w:rPr>
              <w:t>徐智</w:t>
            </w:r>
            <w:r>
              <w:rPr>
                <w:rFonts w:hint="eastAsia" w:ascii="宋体" w:hAnsi="宋体" w:eastAsia="宋体" w:cs="宋体"/>
                <w:sz w:val="20"/>
                <w:szCs w:val="20"/>
                <w:lang w:val="en-US" w:eastAsia="zh-CN"/>
              </w:rPr>
              <w:t>,</w:t>
            </w:r>
            <w:r>
              <w:rPr>
                <w:rFonts w:hint="eastAsia" w:ascii="宋体" w:hAnsi="宋体" w:eastAsia="宋体" w:cs="宋体"/>
                <w:sz w:val="20"/>
                <w:szCs w:val="20"/>
              </w:rPr>
              <w:t>王小瑞</w:t>
            </w:r>
            <w:r>
              <w:rPr>
                <w:rFonts w:hint="eastAsia" w:ascii="宋体" w:hAnsi="宋体" w:eastAsia="宋体" w:cs="宋体"/>
                <w:sz w:val="20"/>
                <w:szCs w:val="20"/>
                <w:lang w:val="en-US" w:eastAsia="zh-CN"/>
              </w:rPr>
              <w:t>,</w:t>
            </w:r>
            <w:r>
              <w:rPr>
                <w:rFonts w:hint="eastAsia" w:ascii="宋体" w:hAnsi="宋体" w:eastAsia="宋体" w:cs="宋体"/>
                <w:sz w:val="20"/>
                <w:szCs w:val="20"/>
              </w:rPr>
              <w:t>季剑秋</w:t>
            </w:r>
            <w:r>
              <w:rPr>
                <w:rFonts w:hint="eastAsia" w:ascii="宋体" w:hAnsi="宋体" w:eastAsia="宋体" w:cs="宋体"/>
                <w:sz w:val="20"/>
                <w:szCs w:val="20"/>
                <w:lang w:val="en-US" w:eastAsia="zh-CN"/>
              </w:rPr>
              <w:t>,</w:t>
            </w:r>
            <w:r>
              <w:rPr>
                <w:rFonts w:hint="eastAsia" w:ascii="宋体" w:hAnsi="宋体" w:eastAsia="宋体" w:cs="宋体"/>
                <w:sz w:val="20"/>
                <w:szCs w:val="20"/>
              </w:rPr>
              <w:t>马贺</w:t>
            </w:r>
            <w:r>
              <w:rPr>
                <w:rFonts w:hint="eastAsia" w:ascii="宋体" w:hAnsi="宋体" w:eastAsia="宋体" w:cs="宋体"/>
                <w:sz w:val="20"/>
                <w:szCs w:val="20"/>
                <w:lang w:val="en-US" w:eastAsia="zh-CN"/>
              </w:rPr>
              <w:t>,</w:t>
            </w:r>
            <w:r>
              <w:rPr>
                <w:rFonts w:hint="eastAsia" w:ascii="宋体" w:hAnsi="宋体" w:eastAsia="宋体" w:cs="宋体"/>
                <w:sz w:val="20"/>
                <w:szCs w:val="20"/>
              </w:rPr>
              <w:t>陈相汝</w:t>
            </w:r>
            <w:r>
              <w:rPr>
                <w:rFonts w:hint="eastAsia" w:ascii="宋体" w:hAnsi="宋体" w:eastAsia="宋体" w:cs="宋体"/>
                <w:sz w:val="20"/>
                <w:szCs w:val="20"/>
                <w:lang w:val="en-US" w:eastAsia="zh-CN"/>
              </w:rPr>
              <w:t>,</w:t>
            </w:r>
            <w:r>
              <w:rPr>
                <w:rFonts w:hint="eastAsia" w:ascii="宋体" w:hAnsi="宋体" w:eastAsia="宋体" w:cs="宋体"/>
                <w:sz w:val="20"/>
                <w:szCs w:val="20"/>
              </w:rPr>
              <w:t>王玫</w:t>
            </w:r>
          </w:p>
        </w:tc>
        <w:tc>
          <w:tcPr>
            <w:tcW w:w="3007" w:type="dxa"/>
            <w:shd w:val="clear" w:color="auto" w:fill="auto"/>
            <w:vAlign w:val="center"/>
          </w:tcPr>
          <w:p w14:paraId="3A0E988B">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spacing w:val="-4"/>
                <w:kern w:val="0"/>
                <w:sz w:val="20"/>
                <w:szCs w:val="20"/>
                <w:lang w:val="en-US" w:eastAsia="zh-CN" w:bidi="ar-SA"/>
              </w:rPr>
            </w:pPr>
            <w:r>
              <w:rPr>
                <w:rFonts w:hint="eastAsia" w:ascii="宋体" w:hAnsi="宋体" w:eastAsia="宋体" w:cs="宋体"/>
                <w:snapToGrid w:val="0"/>
                <w:spacing w:val="-4"/>
                <w:kern w:val="0"/>
                <w:sz w:val="20"/>
                <w:szCs w:val="20"/>
              </w:rPr>
              <w:t>长期使用权（10年）、所有权（学校10%，成果完成团队90%）</w:t>
            </w:r>
          </w:p>
        </w:tc>
        <w:tc>
          <w:tcPr>
            <w:tcW w:w="1207" w:type="dxa"/>
            <w:shd w:val="clear" w:color="auto" w:fill="auto"/>
            <w:vAlign w:val="center"/>
          </w:tcPr>
          <w:p w14:paraId="36E39597">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技术许可</w:t>
            </w:r>
          </w:p>
          <w:p w14:paraId="43BD8014">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c>
          <w:tcPr>
            <w:tcW w:w="1195" w:type="dxa"/>
            <w:shd w:val="clear" w:color="auto" w:fill="auto"/>
            <w:vAlign w:val="center"/>
          </w:tcPr>
          <w:p w14:paraId="56AF466B">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3.5</w:t>
            </w:r>
          </w:p>
        </w:tc>
        <w:tc>
          <w:tcPr>
            <w:tcW w:w="1461" w:type="dxa"/>
            <w:shd w:val="clear" w:color="auto" w:fill="auto"/>
            <w:vAlign w:val="center"/>
          </w:tcPr>
          <w:p w14:paraId="5B1BA110">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lang w:val="en-US" w:eastAsia="zh-CN" w:bidi="ar-SA"/>
              </w:rPr>
            </w:pPr>
            <w:r>
              <w:rPr>
                <w:rFonts w:hint="eastAsia" w:ascii="宋体" w:hAnsi="宋体" w:eastAsia="宋体" w:cs="宋体"/>
                <w:snapToGrid w:val="0"/>
                <w:color w:val="000000"/>
                <w:spacing w:val="-3"/>
                <w:kern w:val="0"/>
                <w:sz w:val="20"/>
                <w:szCs w:val="20"/>
              </w:rPr>
              <w:t>郑州荣珊电子科技有限公司</w:t>
            </w:r>
          </w:p>
        </w:tc>
        <w:tc>
          <w:tcPr>
            <w:tcW w:w="786" w:type="dxa"/>
            <w:vAlign w:val="center"/>
          </w:tcPr>
          <w:p w14:paraId="7B6E9980">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r>
      <w:tr w14:paraId="7592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2A9CEB78">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5</w:t>
            </w:r>
          </w:p>
        </w:tc>
        <w:tc>
          <w:tcPr>
            <w:tcW w:w="1974" w:type="dxa"/>
            <w:shd w:val="clear" w:color="auto" w:fill="auto"/>
            <w:vAlign w:val="center"/>
          </w:tcPr>
          <w:p w14:paraId="19874CE9">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一种基于二维岩心结构的多尺度快速模拟退火建模方法</w:t>
            </w:r>
          </w:p>
        </w:tc>
        <w:tc>
          <w:tcPr>
            <w:tcW w:w="2268" w:type="dxa"/>
            <w:shd w:val="clear" w:color="auto" w:fill="auto"/>
            <w:vAlign w:val="center"/>
          </w:tcPr>
          <w:p w14:paraId="6FF1DAD9">
            <w:pPr>
              <w:keepNext w:val="0"/>
              <w:keepLines w:val="0"/>
              <w:pageBreakBefore w:val="0"/>
              <w:kinsoku/>
              <w:wordWrap/>
              <w:overflowPunct/>
              <w:topLinePunct w:val="0"/>
              <w:autoSpaceDE/>
              <w:autoSpaceDN/>
              <w:bidi w:val="0"/>
              <w:adjustRightInd/>
              <w:snapToGrid w:val="0"/>
              <w:spacing w:before="100" w:beforeAutospacing="1" w:after="100" w:afterAutospacing="1" w:line="640" w:lineRule="exact"/>
              <w:ind w:firstLine="400" w:firstLineChars="200"/>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本发明提供一种基于二维岩心结构的多尺度快速模拟退火建模方法，该算法是一种融合多尺度特征提取与合成、模拟退火算法优化的快速三维建模技术，核心用于从二维图像快速重建与真实微观结构特征相似的三维结构，尤其在数字岩心建模领域展现出显著优势。该方法本质是通过多尺度特征提取与合成，解决传统模拟退火建模算法中计算效率低的问题，实现从宏观框架到微观细节的精准重建。</w:t>
            </w:r>
          </w:p>
        </w:tc>
        <w:tc>
          <w:tcPr>
            <w:tcW w:w="1395" w:type="dxa"/>
            <w:shd w:val="clear" w:color="auto" w:fill="auto"/>
            <w:vAlign w:val="center"/>
          </w:tcPr>
          <w:p w14:paraId="70ACADFA">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陈冬冬</w:t>
            </w:r>
            <w:r>
              <w:rPr>
                <w:rFonts w:hint="eastAsia" w:ascii="宋体" w:hAnsi="宋体" w:eastAsia="宋体" w:cs="宋体"/>
                <w:sz w:val="20"/>
                <w:szCs w:val="20"/>
                <w:lang w:val="en-US" w:eastAsia="zh-CN"/>
              </w:rPr>
              <w:t>,</w:t>
            </w:r>
            <w:r>
              <w:rPr>
                <w:rFonts w:hint="eastAsia" w:ascii="宋体" w:hAnsi="宋体" w:eastAsia="宋体" w:cs="宋体"/>
                <w:sz w:val="20"/>
                <w:szCs w:val="20"/>
              </w:rPr>
              <w:t>徐智</w:t>
            </w:r>
            <w:r>
              <w:rPr>
                <w:rFonts w:hint="eastAsia" w:ascii="宋体" w:hAnsi="宋体" w:eastAsia="宋体" w:cs="宋体"/>
                <w:sz w:val="20"/>
                <w:szCs w:val="20"/>
                <w:lang w:val="en-US" w:eastAsia="zh-CN"/>
              </w:rPr>
              <w:t>,</w:t>
            </w:r>
            <w:r>
              <w:rPr>
                <w:rFonts w:hint="eastAsia" w:ascii="宋体" w:hAnsi="宋体" w:eastAsia="宋体" w:cs="宋体"/>
                <w:sz w:val="20"/>
                <w:szCs w:val="20"/>
              </w:rPr>
              <w:t>王岩</w:t>
            </w:r>
            <w:r>
              <w:rPr>
                <w:rFonts w:hint="eastAsia" w:ascii="宋体" w:hAnsi="宋体" w:eastAsia="宋体" w:cs="宋体"/>
                <w:sz w:val="20"/>
                <w:szCs w:val="20"/>
                <w:lang w:val="en-US" w:eastAsia="zh-CN"/>
              </w:rPr>
              <w:t>,</w:t>
            </w:r>
            <w:r>
              <w:rPr>
                <w:rFonts w:hint="eastAsia" w:ascii="宋体" w:hAnsi="宋体" w:eastAsia="宋体" w:cs="宋体"/>
                <w:sz w:val="20"/>
                <w:szCs w:val="20"/>
              </w:rPr>
              <w:t>陈相汝</w:t>
            </w:r>
            <w:r>
              <w:rPr>
                <w:rFonts w:hint="eastAsia" w:ascii="宋体" w:hAnsi="宋体" w:eastAsia="宋体" w:cs="宋体"/>
                <w:sz w:val="20"/>
                <w:szCs w:val="20"/>
                <w:lang w:val="en-US" w:eastAsia="zh-CN"/>
              </w:rPr>
              <w:t>,</w:t>
            </w:r>
            <w:r>
              <w:rPr>
                <w:rFonts w:hint="eastAsia" w:ascii="宋体" w:hAnsi="宋体" w:eastAsia="宋体" w:cs="宋体"/>
                <w:sz w:val="20"/>
                <w:szCs w:val="20"/>
              </w:rPr>
              <w:t>马贺</w:t>
            </w:r>
          </w:p>
        </w:tc>
        <w:tc>
          <w:tcPr>
            <w:tcW w:w="3007" w:type="dxa"/>
            <w:shd w:val="clear" w:color="auto" w:fill="auto"/>
            <w:vAlign w:val="center"/>
          </w:tcPr>
          <w:p w14:paraId="74B4E8AA">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spacing w:val="-4"/>
                <w:kern w:val="0"/>
                <w:sz w:val="20"/>
                <w:szCs w:val="20"/>
                <w:lang w:val="en-US" w:eastAsia="zh-CN" w:bidi="ar-SA"/>
              </w:rPr>
            </w:pPr>
            <w:r>
              <w:rPr>
                <w:rFonts w:hint="eastAsia" w:ascii="宋体" w:hAnsi="宋体" w:eastAsia="宋体" w:cs="宋体"/>
                <w:snapToGrid w:val="0"/>
                <w:spacing w:val="-4"/>
                <w:kern w:val="0"/>
                <w:sz w:val="20"/>
                <w:szCs w:val="20"/>
              </w:rPr>
              <w:t>长期使用权（10年）、所有权（学校10%，成果完成团队90%）</w:t>
            </w:r>
          </w:p>
        </w:tc>
        <w:tc>
          <w:tcPr>
            <w:tcW w:w="1207" w:type="dxa"/>
            <w:shd w:val="clear" w:color="auto" w:fill="auto"/>
            <w:vAlign w:val="center"/>
          </w:tcPr>
          <w:p w14:paraId="01422A03">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技术许可</w:t>
            </w:r>
          </w:p>
          <w:p w14:paraId="0B6C7DB6">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c>
          <w:tcPr>
            <w:tcW w:w="1195" w:type="dxa"/>
            <w:shd w:val="clear" w:color="auto" w:fill="auto"/>
            <w:vAlign w:val="center"/>
          </w:tcPr>
          <w:p w14:paraId="4588EC8C">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3.5</w:t>
            </w:r>
          </w:p>
        </w:tc>
        <w:tc>
          <w:tcPr>
            <w:tcW w:w="1461" w:type="dxa"/>
            <w:shd w:val="clear" w:color="auto" w:fill="auto"/>
            <w:vAlign w:val="center"/>
          </w:tcPr>
          <w:p w14:paraId="3DA5D4D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lang w:val="en-US" w:eastAsia="zh-CN" w:bidi="ar-SA"/>
              </w:rPr>
            </w:pPr>
            <w:r>
              <w:rPr>
                <w:rFonts w:hint="eastAsia" w:ascii="宋体" w:hAnsi="宋体" w:eastAsia="宋体" w:cs="宋体"/>
                <w:snapToGrid w:val="0"/>
                <w:color w:val="000000"/>
                <w:spacing w:val="-3"/>
                <w:kern w:val="0"/>
                <w:sz w:val="20"/>
                <w:szCs w:val="20"/>
              </w:rPr>
              <w:t>郑州荣珊电子科技有限公司</w:t>
            </w:r>
          </w:p>
        </w:tc>
        <w:tc>
          <w:tcPr>
            <w:tcW w:w="786" w:type="dxa"/>
            <w:vAlign w:val="center"/>
          </w:tcPr>
          <w:p w14:paraId="2480D19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z w:val="20"/>
                <w:szCs w:val="20"/>
              </w:rPr>
            </w:pPr>
          </w:p>
        </w:tc>
      </w:tr>
      <w:tr w14:paraId="4C424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A19BB3C">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6</w:t>
            </w:r>
          </w:p>
        </w:tc>
        <w:tc>
          <w:tcPr>
            <w:tcW w:w="1974" w:type="dxa"/>
            <w:shd w:val="clear" w:color="auto" w:fill="auto"/>
            <w:vAlign w:val="center"/>
          </w:tcPr>
          <w:p w14:paraId="084EB27E">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一种三频率伪随机可变的扩频调制方法及用该方法构建的免滤波脉冲宽度调制器</w:t>
            </w:r>
          </w:p>
        </w:tc>
        <w:tc>
          <w:tcPr>
            <w:tcW w:w="2268" w:type="dxa"/>
            <w:shd w:val="clear" w:color="auto" w:fill="auto"/>
            <w:vAlign w:val="center"/>
          </w:tcPr>
          <w:p w14:paraId="761E7E26">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本发明提出了一种三频率伪随机可变的扩频调制方法及用该方法构建的免滤波脉冲宽度调制器，该方法首先利用频率合成技术，确定三个采样频率；然后在对输入音频信号进行过采样后，利用可变倍数抽取器对音频信号进行抽样，产生具有该三个采样频率的数字信号，同时产生一个同步的时钟信号clk_s，之后利用校正模块预校正该数字信号，使其经过后边沿UPWM发生器后产生的UPWM信号在时域上近似于NPWM信号，最后后边沿UPWM发生器产生具有三个脉冲重复频率的UPWM信号；同时基于上述扩频调制方法设计相应的免滤波脉冲宽度调制器。本发明可明显降低功放输出UPWM信号的高频成分幅度，从而降低EMI，且使功放拥有较低的THD。</w:t>
            </w:r>
          </w:p>
        </w:tc>
        <w:tc>
          <w:tcPr>
            <w:tcW w:w="1395" w:type="dxa"/>
            <w:shd w:val="clear" w:color="auto" w:fill="auto"/>
            <w:vAlign w:val="center"/>
          </w:tcPr>
          <w:p w14:paraId="2A2DAF85">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于泽琦</w:t>
            </w:r>
            <w:r>
              <w:rPr>
                <w:rFonts w:hint="eastAsia" w:ascii="宋体" w:hAnsi="宋体" w:eastAsia="宋体" w:cs="宋体"/>
                <w:snapToGrid w:val="0"/>
                <w:color w:val="000000"/>
                <w:spacing w:val="-4"/>
                <w:kern w:val="0"/>
                <w:sz w:val="20"/>
                <w:szCs w:val="20"/>
                <w:lang w:val="en-US" w:eastAsia="zh-CN"/>
              </w:rPr>
              <w:t>,</w:t>
            </w:r>
            <w:r>
              <w:rPr>
                <w:rFonts w:hint="eastAsia" w:ascii="宋体" w:hAnsi="宋体" w:eastAsia="宋体" w:cs="宋体"/>
                <w:snapToGrid w:val="0"/>
                <w:color w:val="000000"/>
                <w:spacing w:val="-4"/>
                <w:kern w:val="0"/>
                <w:sz w:val="20"/>
                <w:szCs w:val="20"/>
              </w:rPr>
              <w:t>白鸽</w:t>
            </w:r>
            <w:r>
              <w:rPr>
                <w:rFonts w:hint="eastAsia" w:ascii="宋体" w:hAnsi="宋体" w:eastAsia="宋体" w:cs="宋体"/>
                <w:snapToGrid w:val="0"/>
                <w:color w:val="000000"/>
                <w:spacing w:val="-4"/>
                <w:kern w:val="0"/>
                <w:sz w:val="20"/>
                <w:szCs w:val="20"/>
                <w:lang w:val="en-US" w:eastAsia="zh-CN"/>
              </w:rPr>
              <w:t>,</w:t>
            </w:r>
            <w:r>
              <w:rPr>
                <w:rFonts w:hint="eastAsia" w:ascii="宋体" w:hAnsi="宋体" w:eastAsia="宋体" w:cs="宋体"/>
                <w:snapToGrid w:val="0"/>
                <w:color w:val="000000"/>
                <w:spacing w:val="-4"/>
                <w:kern w:val="0"/>
                <w:sz w:val="20"/>
                <w:szCs w:val="20"/>
              </w:rPr>
              <w:t>张珂</w:t>
            </w:r>
          </w:p>
        </w:tc>
        <w:tc>
          <w:tcPr>
            <w:tcW w:w="3007" w:type="dxa"/>
            <w:shd w:val="clear" w:color="auto" w:fill="auto"/>
            <w:vAlign w:val="center"/>
          </w:tcPr>
          <w:p w14:paraId="641EE8CD">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37792FF8">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技术许可</w:t>
            </w:r>
          </w:p>
        </w:tc>
        <w:tc>
          <w:tcPr>
            <w:tcW w:w="1195" w:type="dxa"/>
            <w:shd w:val="clear" w:color="auto" w:fill="auto"/>
            <w:vAlign w:val="center"/>
          </w:tcPr>
          <w:p w14:paraId="13B6D400">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3.1</w:t>
            </w:r>
          </w:p>
        </w:tc>
        <w:tc>
          <w:tcPr>
            <w:tcW w:w="1461" w:type="dxa"/>
            <w:shd w:val="clear" w:color="auto" w:fill="auto"/>
            <w:vAlign w:val="center"/>
          </w:tcPr>
          <w:p w14:paraId="66238D2B">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lang w:val="en-US" w:eastAsia="zh-CN" w:bidi="ar-SA"/>
              </w:rPr>
            </w:pPr>
            <w:r>
              <w:rPr>
                <w:rFonts w:hint="eastAsia" w:ascii="宋体" w:hAnsi="宋体" w:eastAsia="宋体" w:cs="宋体"/>
                <w:snapToGrid w:val="0"/>
                <w:color w:val="000000"/>
                <w:spacing w:val="-3"/>
                <w:kern w:val="0"/>
                <w:sz w:val="20"/>
                <w:szCs w:val="20"/>
              </w:rPr>
              <w:t>河南驰诚电气股份有限公司</w:t>
            </w:r>
          </w:p>
        </w:tc>
        <w:tc>
          <w:tcPr>
            <w:tcW w:w="786" w:type="dxa"/>
            <w:shd w:val="clear" w:color="auto" w:fill="auto"/>
            <w:vAlign w:val="center"/>
          </w:tcPr>
          <w:p w14:paraId="6BD82C7B">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4A568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F5E0A81">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7</w:t>
            </w:r>
          </w:p>
        </w:tc>
        <w:tc>
          <w:tcPr>
            <w:tcW w:w="1974" w:type="dxa"/>
            <w:shd w:val="clear" w:color="auto" w:fill="auto"/>
            <w:vAlign w:val="center"/>
          </w:tcPr>
          <w:p w14:paraId="3B64385B">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一种基于闭环负反馈的UPWM失真校正方法及该方法构建的数字UPWM调制器</w:t>
            </w:r>
          </w:p>
        </w:tc>
        <w:tc>
          <w:tcPr>
            <w:tcW w:w="2268" w:type="dxa"/>
            <w:shd w:val="clear" w:color="auto" w:fill="auto"/>
            <w:vAlign w:val="center"/>
          </w:tcPr>
          <w:p w14:paraId="7D9E5DC9">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一种基于闭环负反馈的UPWM失真校正方法及该方法构建的数字UPWM调制器，该方法首先在数字Sigma-Delta调制器之前添加插零值模块，提高输入信号的采样频率；然后在数字Sigma-Delta调制器之后加入抽取模块，降低数字Sigma-Delta调制器输出信号的采样频率；之后对数字Sigma-Delta调制器的状态空间表达式进行重构，求取一组新的状态空间系数，使得重构之后的数字D类音频功放系统和原数字D类音频功放系统等价；最后将抽取模块和UPWM发生器包含到数字Sigma-Delta调制器的环路内，构成闭环负反馈环路，使得环路的输入输出呈现线性，从而校正UPWM产生的失真。本发明不仅能降低谐波失真还能大幅降低功放输出信号的本底噪声，从而可使功放拥有较高的SNDR，同时所提方法可全数字电路实现、硬件实现简单且具有可移植性。</w:t>
            </w:r>
          </w:p>
        </w:tc>
        <w:tc>
          <w:tcPr>
            <w:tcW w:w="1395" w:type="dxa"/>
            <w:shd w:val="clear" w:color="auto" w:fill="auto"/>
            <w:vAlign w:val="center"/>
          </w:tcPr>
          <w:p w14:paraId="1F82D6BF">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于泽琦、张珂、袁俊岭、张秋闻、黄伟、刘岩、姜冰冰、刘豪凯</w:t>
            </w:r>
          </w:p>
        </w:tc>
        <w:tc>
          <w:tcPr>
            <w:tcW w:w="3007" w:type="dxa"/>
            <w:shd w:val="clear" w:color="auto" w:fill="auto"/>
            <w:vAlign w:val="center"/>
          </w:tcPr>
          <w:p w14:paraId="28DF1514">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74E204A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技术许可</w:t>
            </w:r>
          </w:p>
        </w:tc>
        <w:tc>
          <w:tcPr>
            <w:tcW w:w="1195" w:type="dxa"/>
            <w:shd w:val="clear" w:color="auto" w:fill="auto"/>
            <w:vAlign w:val="center"/>
          </w:tcPr>
          <w:p w14:paraId="3A252B83">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3.1</w:t>
            </w:r>
          </w:p>
        </w:tc>
        <w:tc>
          <w:tcPr>
            <w:tcW w:w="1461" w:type="dxa"/>
            <w:shd w:val="clear" w:color="auto" w:fill="auto"/>
            <w:vAlign w:val="center"/>
          </w:tcPr>
          <w:p w14:paraId="0E0F7323">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lang w:val="en-US" w:eastAsia="zh-CN" w:bidi="ar-SA"/>
              </w:rPr>
            </w:pPr>
            <w:r>
              <w:rPr>
                <w:rFonts w:hint="eastAsia" w:ascii="宋体" w:hAnsi="宋体" w:eastAsia="宋体" w:cs="宋体"/>
                <w:snapToGrid w:val="0"/>
                <w:color w:val="000000"/>
                <w:spacing w:val="-3"/>
                <w:kern w:val="0"/>
                <w:sz w:val="20"/>
                <w:szCs w:val="20"/>
              </w:rPr>
              <w:t>河南驰诚电气股份有限公司</w:t>
            </w:r>
          </w:p>
        </w:tc>
        <w:tc>
          <w:tcPr>
            <w:tcW w:w="786" w:type="dxa"/>
            <w:shd w:val="clear" w:color="auto" w:fill="auto"/>
            <w:vAlign w:val="center"/>
          </w:tcPr>
          <w:p w14:paraId="3302270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55244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FAC42D7">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8</w:t>
            </w:r>
          </w:p>
        </w:tc>
        <w:tc>
          <w:tcPr>
            <w:tcW w:w="1974" w:type="dxa"/>
            <w:shd w:val="clear" w:color="auto" w:fill="auto"/>
            <w:vAlign w:val="center"/>
          </w:tcPr>
          <w:p w14:paraId="0763638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基于MEF效应二次放大INS信号的适体传感器及其制备方法和应用</w:t>
            </w:r>
          </w:p>
        </w:tc>
        <w:tc>
          <w:tcPr>
            <w:tcW w:w="2268" w:type="dxa"/>
            <w:shd w:val="clear" w:color="auto" w:fill="auto"/>
            <w:vAlign w:val="center"/>
          </w:tcPr>
          <w:p w14:paraId="07BC5518">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基于金属增强荧光效应，构建了用于检测生物分子的荧光增强型适体传感器。通过双链DNA提供的刚性结构实现荧光增强，并利用核酸适体可与靶目标特异性结合的实现了荧光信号的二次放大。</w:t>
            </w:r>
          </w:p>
        </w:tc>
        <w:tc>
          <w:tcPr>
            <w:tcW w:w="1395" w:type="dxa"/>
            <w:shd w:val="clear" w:color="auto" w:fill="auto"/>
            <w:vAlign w:val="center"/>
          </w:tcPr>
          <w:p w14:paraId="4EEC45B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姜利英,任林娇,秦自瑞,张培,刘春秀,齐汝宾,徐鹏,陈青华,陈凤华,闫艳霞</w:t>
            </w:r>
          </w:p>
        </w:tc>
        <w:tc>
          <w:tcPr>
            <w:tcW w:w="3007" w:type="dxa"/>
            <w:shd w:val="clear" w:color="auto" w:fill="auto"/>
            <w:vAlign w:val="center"/>
          </w:tcPr>
          <w:p w14:paraId="2413E64E">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75894A55">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4188C74B">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536BD237">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631FD78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108EC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483B6279">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9</w:t>
            </w:r>
          </w:p>
        </w:tc>
        <w:tc>
          <w:tcPr>
            <w:tcW w:w="1974" w:type="dxa"/>
            <w:shd w:val="clear" w:color="auto" w:fill="auto"/>
            <w:vAlign w:val="center"/>
          </w:tcPr>
          <w:p w14:paraId="0C9BCDD8">
            <w:pPr>
              <w:keepNext w:val="0"/>
              <w:keepLines w:val="0"/>
              <w:pageBreakBefore w:val="0"/>
              <w:widowControl/>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一种核酸适体及调节核酸适体信号强度的方法和应用</w:t>
            </w:r>
          </w:p>
        </w:tc>
        <w:tc>
          <w:tcPr>
            <w:tcW w:w="2268" w:type="dxa"/>
            <w:shd w:val="clear" w:color="auto" w:fill="auto"/>
            <w:vAlign w:val="center"/>
          </w:tcPr>
          <w:p w14:paraId="36C94F0F">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利用金属增强荧光效应以及双链DNA捕获银离子更强的优点，设计了一种高灵敏的荧光增强型适体传感器来检测银离子。该技术为环境水样中痕量银离子的检测提供了高灵敏方案，在环境监测和工业废水处理领域具备良好的应用前景。</w:t>
            </w:r>
          </w:p>
        </w:tc>
        <w:tc>
          <w:tcPr>
            <w:tcW w:w="1395" w:type="dxa"/>
            <w:shd w:val="clear" w:color="auto" w:fill="auto"/>
            <w:vAlign w:val="center"/>
          </w:tcPr>
          <w:p w14:paraId="4965D211">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姜利英,任林娇,张培,秦自瑞,张吉涛,陈凤华,程学瑞,何保山,罗俊霞,刘春秀,李志刚</w:t>
            </w:r>
          </w:p>
        </w:tc>
        <w:tc>
          <w:tcPr>
            <w:tcW w:w="3007" w:type="dxa"/>
            <w:shd w:val="clear" w:color="auto" w:fill="auto"/>
            <w:vAlign w:val="center"/>
          </w:tcPr>
          <w:p w14:paraId="59A8F44F">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7E279820">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14A82CE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513FB78E">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3A7E6C7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2D8D4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9BE6898">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10</w:t>
            </w:r>
          </w:p>
        </w:tc>
        <w:tc>
          <w:tcPr>
            <w:tcW w:w="1974" w:type="dxa"/>
            <w:shd w:val="clear" w:color="auto" w:fill="auto"/>
            <w:vAlign w:val="center"/>
          </w:tcPr>
          <w:p w14:paraId="0BF5FEF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kern w:val="0"/>
                <w:sz w:val="20"/>
                <w:szCs w:val="20"/>
              </w:rPr>
              <w:t>一种检测多巴胺的高灵敏荧光探针的制备方法及其应用</w:t>
            </w:r>
          </w:p>
        </w:tc>
        <w:tc>
          <w:tcPr>
            <w:tcW w:w="2268" w:type="dxa"/>
            <w:shd w:val="clear" w:color="auto" w:fill="auto"/>
            <w:vAlign w:val="center"/>
          </w:tcPr>
          <w:p w14:paraId="3ADDF02C">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提出一种检测多巴胺的高灵敏荧光探针的制备方法，通过金属增强荧光效应提高传感器的灵敏度，通过加入氧化石墨烯在减少离心过程的同时，实现传感器灵敏度的更高幅度增加。为高灵敏生物分子检测提供一种新方法。</w:t>
            </w:r>
          </w:p>
        </w:tc>
        <w:tc>
          <w:tcPr>
            <w:tcW w:w="1395" w:type="dxa"/>
            <w:shd w:val="clear" w:color="auto" w:fill="auto"/>
            <w:vAlign w:val="center"/>
          </w:tcPr>
          <w:p w14:paraId="73419D4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姜利英,任林娇,秦自瑞,张培,姜素霞,张吉涛,王延峰,陈青华</w:t>
            </w:r>
          </w:p>
        </w:tc>
        <w:tc>
          <w:tcPr>
            <w:tcW w:w="3007" w:type="dxa"/>
            <w:shd w:val="clear" w:color="auto" w:fill="auto"/>
            <w:vAlign w:val="center"/>
          </w:tcPr>
          <w:p w14:paraId="535DAD6C">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2B556CAF">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03A32F27">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41B150C8">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10EF0566">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33956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6B9B9581">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11</w:t>
            </w:r>
          </w:p>
        </w:tc>
        <w:tc>
          <w:tcPr>
            <w:tcW w:w="1974" w:type="dxa"/>
            <w:shd w:val="clear" w:color="auto" w:fill="auto"/>
            <w:vAlign w:val="center"/>
          </w:tcPr>
          <w:p w14:paraId="7375DA1D">
            <w:pPr>
              <w:keepNext w:val="0"/>
              <w:keepLines w:val="0"/>
              <w:pageBreakBefore w:val="0"/>
              <w:widowControl/>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一种无酶循环放大核酸适配体传感器及其制备方法和应用</w:t>
            </w:r>
          </w:p>
        </w:tc>
        <w:tc>
          <w:tcPr>
            <w:tcW w:w="2268" w:type="dxa"/>
            <w:shd w:val="clear" w:color="auto" w:fill="auto"/>
            <w:vAlign w:val="center"/>
          </w:tcPr>
          <w:p w14:paraId="3EC54C4A">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通过适配体实现对抗生素分子的特异性捕获，利用猝灭基团和荧光基团间的距离变化实现荧光信号检测，并凭借互补链作为媒介参与反应循环，最终实现荧光信号的放大。该无酶传感器为水环境中抗生素残留的快速、高灵敏检测提供了实用工具，在食品安全和环境监管领域应用前景广阔。</w:t>
            </w:r>
          </w:p>
        </w:tc>
        <w:tc>
          <w:tcPr>
            <w:tcW w:w="1395" w:type="dxa"/>
            <w:shd w:val="clear" w:color="auto" w:fill="auto"/>
            <w:vAlign w:val="center"/>
          </w:tcPr>
          <w:p w14:paraId="16C074B6">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任林娇,姜利英,张培,秦自瑞,常凌乾,齐汝宾,彭政,陈青华,陈凤华,闫艳霞</w:t>
            </w:r>
          </w:p>
        </w:tc>
        <w:tc>
          <w:tcPr>
            <w:tcW w:w="3007" w:type="dxa"/>
            <w:shd w:val="clear" w:color="auto" w:fill="auto"/>
            <w:vAlign w:val="center"/>
          </w:tcPr>
          <w:p w14:paraId="77EFB969">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2D6C2165">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6E692A9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163B0797">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0AB15700">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2BBE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1C7FD8B">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12</w:t>
            </w:r>
          </w:p>
        </w:tc>
        <w:tc>
          <w:tcPr>
            <w:tcW w:w="1974" w:type="dxa"/>
            <w:shd w:val="clear" w:color="auto" w:fill="auto"/>
            <w:vAlign w:val="center"/>
          </w:tcPr>
          <w:p w14:paraId="3CD54E3B">
            <w:pPr>
              <w:keepNext w:val="0"/>
              <w:keepLines w:val="0"/>
              <w:pageBreakBefore w:val="0"/>
              <w:widowControl/>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用于检测BRCA2的荧光开启传感器及其制备方法和应用</w:t>
            </w:r>
          </w:p>
        </w:tc>
        <w:tc>
          <w:tcPr>
            <w:tcW w:w="2268" w:type="dxa"/>
            <w:shd w:val="clear" w:color="auto" w:fill="auto"/>
            <w:vAlign w:val="center"/>
          </w:tcPr>
          <w:p w14:paraId="4AA0605E">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该荧光开启传感器能一步实现对靶基因BRCA2的检测，并通过改变分子发夹的浓度调节线性检测范围，且该传感器的制备无需修饰猝灭基团或使用其他特殊材料，过程操作极为简单，特异性突出，能有效识别单碱基突变，对基因传感器的推广应用以及进一步预测评估乳腺癌疾病具有重要价值。</w:t>
            </w:r>
          </w:p>
        </w:tc>
        <w:tc>
          <w:tcPr>
            <w:tcW w:w="1395" w:type="dxa"/>
            <w:shd w:val="clear" w:color="auto" w:fill="auto"/>
            <w:vAlign w:val="center"/>
          </w:tcPr>
          <w:p w14:paraId="1A3CFD04">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任林娇,姜利英,张培,魏铭航,陈青华,秦自瑞,张庆芳,张吉涛,齐汝宾</w:t>
            </w:r>
          </w:p>
        </w:tc>
        <w:tc>
          <w:tcPr>
            <w:tcW w:w="3007" w:type="dxa"/>
            <w:shd w:val="clear" w:color="auto" w:fill="auto"/>
            <w:vAlign w:val="center"/>
          </w:tcPr>
          <w:p w14:paraId="7CA24954">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50D3F9DB">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1A88F2DE">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2A78F8FD">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7F4FEB78">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4116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C27CDFC">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13</w:t>
            </w:r>
          </w:p>
        </w:tc>
        <w:tc>
          <w:tcPr>
            <w:tcW w:w="1974" w:type="dxa"/>
            <w:shd w:val="clear" w:color="auto" w:fill="auto"/>
            <w:vAlign w:val="center"/>
          </w:tcPr>
          <w:p w14:paraId="21F764A3">
            <w:pPr>
              <w:keepNext w:val="0"/>
              <w:keepLines w:val="0"/>
              <w:pageBreakBefore w:val="0"/>
              <w:widowControl/>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一种增强碳量子点荧光的碳量子点/硫醇-烯复合材料及其制备方法和应用</w:t>
            </w:r>
          </w:p>
        </w:tc>
        <w:tc>
          <w:tcPr>
            <w:tcW w:w="2268" w:type="dxa"/>
            <w:shd w:val="clear" w:color="auto" w:fill="auto"/>
            <w:vAlign w:val="center"/>
          </w:tcPr>
          <w:p w14:paraId="1B1366D1">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提出一种增强碳量子点荧光的碳量子点/硫醇-烯复合材料及其制备方法，用以解决传统高分子碳量子点复合材料发光强度低、易发生荧光猝灭的技术问题。该方法得到的固化物韧性好,透明度高,并且富有弹性，对比固化前荧光强度显著增强。</w:t>
            </w:r>
          </w:p>
        </w:tc>
        <w:tc>
          <w:tcPr>
            <w:tcW w:w="1395" w:type="dxa"/>
            <w:shd w:val="clear" w:color="auto" w:fill="auto"/>
            <w:vAlign w:val="center"/>
          </w:tcPr>
          <w:p w14:paraId="3C0C11A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张培,姜利英,任林娇,秦自瑞,李少君,齐汝宾,张吉涛,张庆芳,郑一博,柴鑫毅,金旅辉</w:t>
            </w:r>
          </w:p>
        </w:tc>
        <w:tc>
          <w:tcPr>
            <w:tcW w:w="3007" w:type="dxa"/>
            <w:shd w:val="clear" w:color="auto" w:fill="auto"/>
            <w:vAlign w:val="center"/>
          </w:tcPr>
          <w:p w14:paraId="5ED2FA08">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7B08E884">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190A5087">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5825FE99">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1EFF1C3E">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03923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1E43C7A0">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14</w:t>
            </w:r>
          </w:p>
        </w:tc>
        <w:tc>
          <w:tcPr>
            <w:tcW w:w="1974" w:type="dxa"/>
            <w:shd w:val="clear" w:color="auto" w:fill="auto"/>
            <w:vAlign w:val="center"/>
          </w:tcPr>
          <w:p w14:paraId="2076F202">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z w:val="20"/>
                <w:szCs w:val="20"/>
              </w:rPr>
            </w:pPr>
            <w:r>
              <w:rPr>
                <w:rFonts w:hint="eastAsia" w:ascii="宋体" w:hAnsi="宋体" w:eastAsia="宋体" w:cs="宋体"/>
                <w:sz w:val="20"/>
                <w:szCs w:val="20"/>
              </w:rPr>
              <w:t>基于面内光子自旋霍尔效应的偏振态调制型纳米级薄膜折射率测量方法及其应用</w:t>
            </w:r>
          </w:p>
          <w:p w14:paraId="6176CEA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p>
        </w:tc>
        <w:tc>
          <w:tcPr>
            <w:tcW w:w="2268" w:type="dxa"/>
            <w:shd w:val="clear" w:color="auto" w:fill="auto"/>
            <w:vAlign w:val="center"/>
          </w:tcPr>
          <w:p w14:paraId="12A8DA7D">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提出一种基于面内光子自旋霍尔效应的偏振态调制型纳米级薄膜折射率测量方法，检测系统结构简单、易于操作，且测量时调制的是入射偏振态而非入射角，测量过程中不会引入因入射角变动而引起的偏心误差。该方法测量的是光斑质心的偏移，其不受环境光的影响，具有测量精度高和稳定性好等优点。</w:t>
            </w:r>
          </w:p>
        </w:tc>
        <w:tc>
          <w:tcPr>
            <w:tcW w:w="1395" w:type="dxa"/>
            <w:shd w:val="clear" w:color="auto" w:fill="auto"/>
            <w:vAlign w:val="center"/>
          </w:tcPr>
          <w:p w14:paraId="55BB79B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秦自瑞,姜利英,白子豪,任林娇,张培,齐汝宾,庞伟伟, 周海洋</w:t>
            </w:r>
          </w:p>
        </w:tc>
        <w:tc>
          <w:tcPr>
            <w:tcW w:w="3007" w:type="dxa"/>
            <w:shd w:val="clear" w:color="auto" w:fill="auto"/>
            <w:vAlign w:val="center"/>
          </w:tcPr>
          <w:p w14:paraId="6AEFE1B3">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20BDDAA4">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0D34BAF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3E2258F7">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445C443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3A682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71957B54">
            <w:pPr>
              <w:keepNext w:val="0"/>
              <w:keepLines w:val="0"/>
              <w:pageBreakBefore w:val="0"/>
              <w:kinsoku/>
              <w:wordWrap/>
              <w:overflowPunct/>
              <w:topLinePunct w:val="0"/>
              <w:autoSpaceDE/>
              <w:autoSpaceDN/>
              <w:bidi w:val="0"/>
              <w:snapToGrid w:val="0"/>
              <w:spacing w:line="640" w:lineRule="exact"/>
              <w:jc w:val="center"/>
              <w:textAlignment w:val="auto"/>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15</w:t>
            </w:r>
          </w:p>
        </w:tc>
        <w:tc>
          <w:tcPr>
            <w:tcW w:w="1974" w:type="dxa"/>
            <w:shd w:val="clear" w:color="auto" w:fill="auto"/>
            <w:vAlign w:val="center"/>
          </w:tcPr>
          <w:p w14:paraId="171E0358">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一种利用面内空间自旋分裂位移测量微小旋光角度的方法和应用</w:t>
            </w:r>
          </w:p>
        </w:tc>
        <w:tc>
          <w:tcPr>
            <w:tcW w:w="2268" w:type="dxa"/>
            <w:shd w:val="clear" w:color="auto" w:fill="auto"/>
            <w:vAlign w:val="center"/>
          </w:tcPr>
          <w:p w14:paraId="76614518">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提出一种利用面内空间自旋分裂位移测量微小旋光角度的方法，利用面内空间自旋分裂位移对旋光角度的优异敏感特性，实现微小旋光角度的高分辨力测量。</w:t>
            </w:r>
          </w:p>
        </w:tc>
        <w:tc>
          <w:tcPr>
            <w:tcW w:w="1395" w:type="dxa"/>
            <w:shd w:val="clear" w:color="auto" w:fill="auto"/>
            <w:vAlign w:val="center"/>
          </w:tcPr>
          <w:p w14:paraId="4B8CFB87">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0"/>
                <w:sz w:val="20"/>
                <w:szCs w:val="20"/>
                <w:lang w:val="en-US" w:eastAsia="zh-CN" w:bidi="ar-SA"/>
              </w:rPr>
            </w:pPr>
            <w:r>
              <w:rPr>
                <w:rFonts w:hint="eastAsia" w:ascii="宋体" w:hAnsi="宋体" w:eastAsia="宋体" w:cs="宋体"/>
                <w:kern w:val="0"/>
                <w:sz w:val="20"/>
                <w:szCs w:val="20"/>
              </w:rPr>
              <w:t>秦自瑞,姜利英,衡胜严,张培,任林娇,齐汝宾,庞伟伟, 周海洋</w:t>
            </w:r>
          </w:p>
        </w:tc>
        <w:tc>
          <w:tcPr>
            <w:tcW w:w="3007" w:type="dxa"/>
            <w:shd w:val="clear" w:color="auto" w:fill="auto"/>
            <w:vAlign w:val="center"/>
          </w:tcPr>
          <w:p w14:paraId="698FF8F9">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1FCCA71F">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技术许可</w:t>
            </w:r>
          </w:p>
        </w:tc>
        <w:tc>
          <w:tcPr>
            <w:tcW w:w="1195" w:type="dxa"/>
            <w:shd w:val="clear" w:color="auto" w:fill="auto"/>
            <w:vAlign w:val="center"/>
          </w:tcPr>
          <w:p w14:paraId="55CD9EE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5</w:t>
            </w:r>
          </w:p>
        </w:tc>
        <w:tc>
          <w:tcPr>
            <w:tcW w:w="1461" w:type="dxa"/>
            <w:shd w:val="clear" w:color="auto" w:fill="auto"/>
            <w:vAlign w:val="center"/>
          </w:tcPr>
          <w:p w14:paraId="6F28D942">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河南省日立信股份有限公司</w:t>
            </w:r>
          </w:p>
        </w:tc>
        <w:tc>
          <w:tcPr>
            <w:tcW w:w="786" w:type="dxa"/>
            <w:shd w:val="clear" w:color="auto" w:fill="auto"/>
            <w:vAlign w:val="center"/>
          </w:tcPr>
          <w:p w14:paraId="0A63EB8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70EEC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vAlign w:val="center"/>
          </w:tcPr>
          <w:p w14:paraId="05BF030F">
            <w:pPr>
              <w:keepNext w:val="0"/>
              <w:keepLines w:val="0"/>
              <w:pageBreakBefore w:val="0"/>
              <w:kinsoku/>
              <w:wordWrap/>
              <w:overflowPunct/>
              <w:topLinePunct w:val="0"/>
              <w:autoSpaceDE/>
              <w:autoSpaceDN/>
              <w:bidi w:val="0"/>
              <w:snapToGrid w:val="0"/>
              <w:spacing w:line="640" w:lineRule="exact"/>
              <w:jc w:val="center"/>
              <w:textAlignment w:val="auto"/>
              <w:rPr>
                <w:rFonts w:hint="default" w:ascii="宋体" w:hAnsi="宋体" w:eastAsia="宋体" w:cs="宋体"/>
                <w:sz w:val="20"/>
                <w:szCs w:val="20"/>
                <w:lang w:val="en-US" w:eastAsia="zh-CN"/>
              </w:rPr>
            </w:pPr>
            <w:r>
              <w:rPr>
                <w:rFonts w:hint="eastAsia" w:ascii="宋体" w:hAnsi="宋体" w:cs="宋体"/>
                <w:sz w:val="20"/>
                <w:szCs w:val="20"/>
                <w:lang w:val="en-US" w:eastAsia="zh-CN"/>
              </w:rPr>
              <w:t>16</w:t>
            </w:r>
          </w:p>
        </w:tc>
        <w:tc>
          <w:tcPr>
            <w:tcW w:w="1974" w:type="dxa"/>
            <w:shd w:val="clear" w:color="auto" w:fill="auto"/>
            <w:vAlign w:val="center"/>
          </w:tcPr>
          <w:p w14:paraId="09D171AA">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一种预紧力可调机构和压电驱动微进给装置</w:t>
            </w:r>
          </w:p>
        </w:tc>
        <w:tc>
          <w:tcPr>
            <w:tcW w:w="2268" w:type="dxa"/>
            <w:shd w:val="clear" w:color="auto" w:fill="auto"/>
            <w:vAlign w:val="center"/>
          </w:tcPr>
          <w:p w14:paraId="5A621D60">
            <w:pPr>
              <w:keepNext w:val="0"/>
              <w:keepLines w:val="0"/>
              <w:pageBreakBefore w:val="0"/>
              <w:kinsoku/>
              <w:wordWrap/>
              <w:overflowPunct/>
              <w:topLinePunct w:val="0"/>
              <w:autoSpaceDE/>
              <w:autoSpaceDN/>
              <w:bidi w:val="0"/>
              <w:adjustRightInd/>
              <w:spacing w:before="78"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z w:val="20"/>
                <w:szCs w:val="20"/>
              </w:rPr>
              <w:t>注汽阀是分层注汽技术中的关键零部件，其作用在于将水蒸气注入到目标储存层中，以及用于注汽速率的调节，其直接影响了分层注汽技术的应用效果。本成果提出一种注汽速率远程可调的注汽阀和一种预紧力可调机构和压电驱动微进给装置。注汽阀本体内设置有注汽内腔，注汽内腔中设置有注汽开关结构，注汽内腔中还对应注汽口设置有二级注汽速率调节结构；注汽阀本体内设置有一级注汽速率调节结构。</w:t>
            </w:r>
          </w:p>
        </w:tc>
        <w:tc>
          <w:tcPr>
            <w:tcW w:w="1395" w:type="dxa"/>
            <w:shd w:val="clear" w:color="auto" w:fill="auto"/>
            <w:vAlign w:val="center"/>
          </w:tcPr>
          <w:p w14:paraId="5E79F14A">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b/>
                <w:bCs/>
                <w:snapToGrid w:val="0"/>
                <w:color w:val="000000"/>
                <w:spacing w:val="-4"/>
                <w:kern w:val="0"/>
                <w:sz w:val="20"/>
                <w:szCs w:val="20"/>
                <w:lang w:val="en-US" w:eastAsia="zh-CN" w:bidi="ar-SA"/>
              </w:rPr>
            </w:pPr>
            <w:r>
              <w:rPr>
                <w:rFonts w:hint="eastAsia" w:ascii="宋体" w:hAnsi="宋体" w:eastAsia="宋体" w:cs="宋体"/>
                <w:sz w:val="20"/>
                <w:szCs w:val="20"/>
              </w:rPr>
              <w:t>张段芹，窦林鹏，马建荣，李明亮，刘昌盛，费致根</w:t>
            </w:r>
          </w:p>
        </w:tc>
        <w:tc>
          <w:tcPr>
            <w:tcW w:w="3007" w:type="dxa"/>
            <w:shd w:val="clear" w:color="auto" w:fill="auto"/>
            <w:vAlign w:val="center"/>
          </w:tcPr>
          <w:p w14:paraId="3D2F366E">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1207" w:type="dxa"/>
            <w:shd w:val="clear" w:color="auto" w:fill="auto"/>
            <w:vAlign w:val="center"/>
          </w:tcPr>
          <w:p w14:paraId="2BC1ED3D">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技术许可</w:t>
            </w:r>
          </w:p>
        </w:tc>
        <w:tc>
          <w:tcPr>
            <w:tcW w:w="1195" w:type="dxa"/>
            <w:shd w:val="clear" w:color="auto" w:fill="auto"/>
            <w:vAlign w:val="center"/>
          </w:tcPr>
          <w:p w14:paraId="701F22EF">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4</w:t>
            </w:r>
          </w:p>
        </w:tc>
        <w:tc>
          <w:tcPr>
            <w:tcW w:w="1461" w:type="dxa"/>
            <w:shd w:val="clear" w:color="auto" w:fill="auto"/>
            <w:vAlign w:val="center"/>
          </w:tcPr>
          <w:p w14:paraId="0F79C255">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snapToGrid w:val="0"/>
                <w:color w:val="000000"/>
                <w:spacing w:val="-3"/>
                <w:kern w:val="0"/>
                <w:sz w:val="20"/>
                <w:szCs w:val="20"/>
                <w:lang w:val="en-US" w:eastAsia="zh-CN" w:bidi="ar-SA"/>
              </w:rPr>
            </w:pPr>
            <w:r>
              <w:rPr>
                <w:rFonts w:hint="eastAsia" w:ascii="宋体" w:hAnsi="宋体" w:eastAsia="宋体" w:cs="宋体"/>
                <w:sz w:val="20"/>
                <w:szCs w:val="20"/>
              </w:rPr>
              <w:t>江苏众卓运维科技有限公司</w:t>
            </w:r>
          </w:p>
        </w:tc>
        <w:tc>
          <w:tcPr>
            <w:tcW w:w="786" w:type="dxa"/>
            <w:shd w:val="clear" w:color="auto" w:fill="auto"/>
            <w:vAlign w:val="center"/>
          </w:tcPr>
          <w:p w14:paraId="7155AB9A">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r w14:paraId="47CA4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0" w:type="auto"/>
          </w:tcPr>
          <w:p w14:paraId="4100F6D8">
            <w:pPr>
              <w:keepNext w:val="0"/>
              <w:keepLines w:val="0"/>
              <w:pageBreakBefore w:val="0"/>
              <w:kinsoku/>
              <w:wordWrap/>
              <w:overflowPunct/>
              <w:topLinePunct w:val="0"/>
              <w:autoSpaceDE/>
              <w:autoSpaceDN/>
              <w:bidi w:val="0"/>
              <w:snapToGrid w:val="0"/>
              <w:spacing w:line="640" w:lineRule="exact"/>
              <w:jc w:val="center"/>
              <w:textAlignment w:val="auto"/>
              <w:rPr>
                <w:rFonts w:hint="default" w:ascii="宋体" w:hAnsi="宋体" w:eastAsia="宋体" w:cs="宋体"/>
                <w:sz w:val="20"/>
                <w:szCs w:val="20"/>
                <w:lang w:val="en-US" w:eastAsia="zh-CN"/>
              </w:rPr>
            </w:pPr>
            <w:r>
              <w:rPr>
                <w:rFonts w:hint="eastAsia" w:ascii="宋体" w:hAnsi="宋体" w:cs="宋体"/>
                <w:sz w:val="20"/>
                <w:szCs w:val="20"/>
                <w:lang w:val="en-US" w:eastAsia="zh-CN"/>
              </w:rPr>
              <w:t>17</w:t>
            </w:r>
          </w:p>
        </w:tc>
        <w:tc>
          <w:tcPr>
            <w:tcW w:w="0" w:type="auto"/>
            <w:shd w:val="clear" w:color="auto" w:fill="auto"/>
            <w:vAlign w:val="center"/>
          </w:tcPr>
          <w:p w14:paraId="1CDA2DBF">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一种多部位速率远程可控的注汽阀</w:t>
            </w:r>
          </w:p>
        </w:tc>
        <w:tc>
          <w:tcPr>
            <w:tcW w:w="0" w:type="auto"/>
            <w:shd w:val="clear" w:color="auto" w:fill="auto"/>
            <w:vAlign w:val="center"/>
          </w:tcPr>
          <w:p w14:paraId="0BC3553F">
            <w:pPr>
              <w:keepNext w:val="0"/>
              <w:keepLines w:val="0"/>
              <w:pageBreakBefore w:val="0"/>
              <w:kinsoku/>
              <w:wordWrap/>
              <w:overflowPunct/>
              <w:topLinePunct w:val="0"/>
              <w:autoSpaceDE/>
              <w:autoSpaceDN/>
              <w:bidi w:val="0"/>
              <w:adjustRightInd/>
              <w:snapToGrid w:val="0"/>
              <w:spacing w:line="640" w:lineRule="exact"/>
              <w:ind w:firstLine="400" w:firstLineChars="200"/>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预紧力可调机构和压电驱动微进给装置用于二级注汽速率的精细调节，压电促动器具有纳米级位移分辨率、亚毫秒级响应速度与大推力密度等优势，已应用于共轨式燃油喷射阀、丰田汽车电子控制悬架系统等。在一些要求响应快、行程大且高精度位移伺服的微进给应用场合，如流量或压力伺服阀、可控注汽阀、超精密加工用快速刀具伺服系统等领域，需要对预紧力进行调节以达到最佳的动态控制功能。</w:t>
            </w:r>
          </w:p>
        </w:tc>
        <w:tc>
          <w:tcPr>
            <w:tcW w:w="0" w:type="auto"/>
            <w:shd w:val="clear" w:color="auto" w:fill="auto"/>
            <w:vAlign w:val="center"/>
          </w:tcPr>
          <w:p w14:paraId="0415CFB3">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张德海，何文斌，周盛茂，李艳芹，张段芹，任菲，刘晓丽，王胜永，王辉，郭东杰，王涛，许宸语，马选雄，浮绍椿</w:t>
            </w:r>
          </w:p>
        </w:tc>
        <w:tc>
          <w:tcPr>
            <w:tcW w:w="0" w:type="auto"/>
            <w:shd w:val="clear" w:color="auto" w:fill="auto"/>
            <w:vAlign w:val="center"/>
          </w:tcPr>
          <w:p w14:paraId="62FC609D">
            <w:pPr>
              <w:keepNext w:val="0"/>
              <w:keepLines w:val="0"/>
              <w:pageBreakBefore w:val="0"/>
              <w:kinsoku/>
              <w:wordWrap/>
              <w:overflowPunct/>
              <w:topLinePunct w:val="0"/>
              <w:autoSpaceDE/>
              <w:autoSpaceDN/>
              <w:bidi w:val="0"/>
              <w:adjustRightInd/>
              <w:snapToGrid w:val="0"/>
              <w:spacing w:line="640" w:lineRule="exact"/>
              <w:jc w:val="center"/>
              <w:textAlignment w:val="auto"/>
              <w:rPr>
                <w:rFonts w:hint="eastAsia" w:ascii="宋体" w:hAnsi="宋体" w:eastAsia="宋体" w:cs="宋体"/>
                <w:snapToGrid w:val="0"/>
                <w:color w:val="000000"/>
                <w:spacing w:val="-4"/>
                <w:kern w:val="0"/>
                <w:sz w:val="20"/>
                <w:szCs w:val="20"/>
                <w:lang w:val="en-US" w:eastAsia="zh-CN" w:bidi="ar-SA"/>
              </w:rPr>
            </w:pPr>
            <w:r>
              <w:rPr>
                <w:rFonts w:hint="eastAsia" w:ascii="宋体" w:hAnsi="宋体" w:eastAsia="宋体" w:cs="宋体"/>
                <w:snapToGrid w:val="0"/>
                <w:color w:val="000000"/>
                <w:spacing w:val="-4"/>
                <w:kern w:val="0"/>
                <w:sz w:val="20"/>
                <w:szCs w:val="20"/>
              </w:rPr>
              <w:t>长期使用权（10年）</w:t>
            </w:r>
          </w:p>
        </w:tc>
        <w:tc>
          <w:tcPr>
            <w:tcW w:w="0" w:type="auto"/>
            <w:shd w:val="clear" w:color="auto" w:fill="auto"/>
            <w:vAlign w:val="center"/>
          </w:tcPr>
          <w:p w14:paraId="5A7E2396">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技术许可</w:t>
            </w:r>
          </w:p>
        </w:tc>
        <w:tc>
          <w:tcPr>
            <w:tcW w:w="0" w:type="auto"/>
            <w:shd w:val="clear" w:color="auto" w:fill="auto"/>
            <w:vAlign w:val="center"/>
          </w:tcPr>
          <w:p w14:paraId="6825A6A9">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4</w:t>
            </w:r>
          </w:p>
        </w:tc>
        <w:tc>
          <w:tcPr>
            <w:tcW w:w="0" w:type="auto"/>
            <w:shd w:val="clear" w:color="auto" w:fill="auto"/>
            <w:vAlign w:val="center"/>
          </w:tcPr>
          <w:p w14:paraId="5B0667F2">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r>
              <w:rPr>
                <w:rFonts w:hint="eastAsia" w:ascii="宋体" w:hAnsi="宋体" w:eastAsia="宋体" w:cs="宋体"/>
                <w:sz w:val="20"/>
                <w:szCs w:val="20"/>
              </w:rPr>
              <w:t>江苏众卓运维科技有限公司</w:t>
            </w:r>
          </w:p>
        </w:tc>
        <w:tc>
          <w:tcPr>
            <w:tcW w:w="0" w:type="auto"/>
          </w:tcPr>
          <w:p w14:paraId="613C890E">
            <w:pPr>
              <w:keepNext w:val="0"/>
              <w:keepLines w:val="0"/>
              <w:pageBreakBefore w:val="0"/>
              <w:kinsoku/>
              <w:wordWrap/>
              <w:overflowPunct/>
              <w:topLinePunct w:val="0"/>
              <w:autoSpaceDE/>
              <w:autoSpaceDN/>
              <w:bidi w:val="0"/>
              <w:adjustRightInd/>
              <w:spacing w:line="640" w:lineRule="exact"/>
              <w:jc w:val="center"/>
              <w:textAlignment w:val="auto"/>
              <w:rPr>
                <w:rFonts w:hint="eastAsia" w:ascii="宋体" w:hAnsi="宋体" w:eastAsia="宋体" w:cs="宋体"/>
                <w:kern w:val="2"/>
                <w:sz w:val="20"/>
                <w:szCs w:val="20"/>
                <w:lang w:val="en-US" w:eastAsia="zh-CN" w:bidi="ar-SA"/>
              </w:rPr>
            </w:pPr>
          </w:p>
        </w:tc>
      </w:tr>
    </w:tbl>
    <w:p w14:paraId="7D514B80">
      <w:pPr>
        <w:keepNext w:val="0"/>
        <w:keepLines w:val="0"/>
        <w:pageBreakBefore w:val="0"/>
        <w:kinsoku/>
        <w:wordWrap/>
        <w:overflowPunct/>
        <w:topLinePunct w:val="0"/>
        <w:autoSpaceDE/>
        <w:autoSpaceDN/>
        <w:bidi w:val="0"/>
        <w:spacing w:line="640" w:lineRule="exact"/>
        <w:jc w:val="center"/>
        <w:textAlignment w:val="auto"/>
        <w:rPr>
          <w:rFonts w:hint="eastAsia" w:ascii="宋体" w:hAnsi="宋体" w:eastAsia="宋体" w:cs="宋体"/>
          <w:sz w:val="20"/>
          <w:szCs w:val="20"/>
        </w:rPr>
      </w:pPr>
    </w:p>
    <w:p w14:paraId="0AD44E55">
      <w:pPr>
        <w:rPr>
          <w:rFonts w:ascii="仿宋" w:hAnsi="仿宋" w:eastAsia="仿宋"/>
          <w:sz w:val="20"/>
          <w:szCs w:val="20"/>
        </w:rPr>
      </w:pPr>
    </w:p>
    <w:p w14:paraId="0DCDDC89">
      <w:pPr>
        <w:rPr>
          <w:rFonts w:ascii="仿宋" w:hAnsi="仿宋" w:eastAsia="仿宋"/>
          <w:sz w:val="20"/>
          <w:szCs w:val="2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70345"/>
    <w:rsid w:val="000D3EA8"/>
    <w:rsid w:val="00134853"/>
    <w:rsid w:val="00177E52"/>
    <w:rsid w:val="001A09BA"/>
    <w:rsid w:val="002A40B0"/>
    <w:rsid w:val="005440E0"/>
    <w:rsid w:val="0058314F"/>
    <w:rsid w:val="00643B2E"/>
    <w:rsid w:val="00652DF4"/>
    <w:rsid w:val="007970B5"/>
    <w:rsid w:val="00872187"/>
    <w:rsid w:val="009433FD"/>
    <w:rsid w:val="009F3EF3"/>
    <w:rsid w:val="00A46857"/>
    <w:rsid w:val="00B006CA"/>
    <w:rsid w:val="00B56E65"/>
    <w:rsid w:val="00CF2700"/>
    <w:rsid w:val="00D35412"/>
    <w:rsid w:val="00D945B5"/>
    <w:rsid w:val="00E00439"/>
    <w:rsid w:val="0F2B62DD"/>
    <w:rsid w:val="0FBF6A20"/>
    <w:rsid w:val="1308507D"/>
    <w:rsid w:val="163C6B4E"/>
    <w:rsid w:val="1FAC5225"/>
    <w:rsid w:val="2FA605C9"/>
    <w:rsid w:val="32132900"/>
    <w:rsid w:val="415E2C8C"/>
    <w:rsid w:val="50D852D8"/>
    <w:rsid w:val="5840638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tabs>
        <w:tab w:val="center" w:pos="4153"/>
        <w:tab w:val="right" w:pos="8306"/>
      </w:tabs>
      <w:snapToGrid w:val="0"/>
      <w:jc w:val="center"/>
    </w:pPr>
    <w:rPr>
      <w:sz w:val="18"/>
      <w:szCs w:val="18"/>
    </w:rPr>
  </w:style>
  <w:style w:type="character" w:customStyle="1" w:styleId="6">
    <w:name w:val="页眉 字符"/>
    <w:basedOn w:val="5"/>
    <w:link w:val="3"/>
    <w:qFormat/>
    <w:uiPriority w:val="0"/>
    <w:rPr>
      <w:rFonts w:ascii="Calibri" w:hAnsi="Calibri"/>
      <w:kern w:val="2"/>
      <w:sz w:val="18"/>
      <w:szCs w:val="18"/>
    </w:rPr>
  </w:style>
  <w:style w:type="character" w:customStyle="1" w:styleId="7">
    <w:name w:val="页脚 字符"/>
    <w:basedOn w:val="5"/>
    <w:link w:val="2"/>
    <w:qFormat/>
    <w:uiPriority w:val="0"/>
    <w:rPr>
      <w:rFonts w:ascii="Calibri" w:hAnsi="Calibri"/>
      <w:kern w:val="2"/>
      <w:sz w:val="18"/>
      <w:szCs w:val="18"/>
    </w:rPr>
  </w:style>
  <w:style w:type="character" w:customStyle="1" w:styleId="8">
    <w:name w:val="fontstyle11"/>
    <w:qFormat/>
    <w:uiPriority w:val="0"/>
    <w:rPr>
      <w:rFonts w:hint="eastAsia" w:ascii="宋体" w:hAnsi="宋体" w:eastAsia="宋体"/>
      <w:color w:val="000000"/>
      <w:sz w:val="22"/>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22</Pages>
  <Words>3920</Words>
  <Characters>4113</Characters>
  <Lines>5</Lines>
  <Paragraphs>1</Paragraphs>
  <TotalTime>1</TotalTime>
  <ScaleCrop>false</ScaleCrop>
  <LinksUpToDate>false</LinksUpToDate>
  <CharactersWithSpaces>4185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2022-07-25T02:39:00Z</cp:lastPrinted>
  <dcterms:modified xsi:type="dcterms:W3CDTF">2025-11-20T03:48:11Z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