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2110F3">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1州轻工业大学科研成果赋权情况表</w:t>
      </w:r>
    </w:p>
    <w:p w14:paraId="42941936">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时间：2025年12月</w:t>
      </w:r>
      <w:r>
        <w:rPr>
          <w:rFonts w:ascii="仿宋" w:hAnsi="仿宋" w:eastAsia="仿宋" w:cs="仿宋"/>
          <w:sz w:val="28"/>
          <w:szCs w:val="28"/>
        </w:rPr>
        <w:t>31</w:t>
      </w:r>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407"/>
        <w:gridCol w:w="3969"/>
        <w:gridCol w:w="1418"/>
        <w:gridCol w:w="1850"/>
        <w:gridCol w:w="1207"/>
        <w:gridCol w:w="1195"/>
        <w:gridCol w:w="1461"/>
        <w:gridCol w:w="786"/>
      </w:tblGrid>
      <w:tr w14:paraId="76D4A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vAlign w:val="center"/>
          </w:tcPr>
          <w:p w14:paraId="46980BC7">
            <w:pPr>
              <w:snapToGrid w:val="0"/>
              <w:spacing w:line="340" w:lineRule="atLeast"/>
              <w:jc w:val="center"/>
              <w:rPr>
                <w:rFonts w:ascii="黑体" w:hAnsi="黑体" w:eastAsia="黑体" w:cs="黑体"/>
                <w:sz w:val="24"/>
              </w:rPr>
            </w:pPr>
            <w:r>
              <w:rPr>
                <w:rFonts w:hint="eastAsia" w:ascii="黑体" w:hAnsi="黑体" w:eastAsia="黑体" w:cs="黑体"/>
                <w:sz w:val="24"/>
              </w:rPr>
              <w:t>序号</w:t>
            </w:r>
          </w:p>
        </w:tc>
        <w:tc>
          <w:tcPr>
            <w:tcW w:w="1407" w:type="dxa"/>
            <w:vAlign w:val="center"/>
          </w:tcPr>
          <w:p w14:paraId="52089EFE">
            <w:pPr>
              <w:snapToGrid w:val="0"/>
              <w:spacing w:line="340" w:lineRule="atLeast"/>
              <w:jc w:val="center"/>
              <w:rPr>
                <w:rFonts w:ascii="黑体" w:hAnsi="黑体" w:eastAsia="黑体" w:cs="黑体"/>
                <w:sz w:val="24"/>
              </w:rPr>
            </w:pPr>
            <w:r>
              <w:rPr>
                <w:rFonts w:hint="eastAsia" w:ascii="黑体" w:hAnsi="黑体" w:eastAsia="黑体" w:cs="黑体"/>
                <w:sz w:val="24"/>
              </w:rPr>
              <w:t>成果名称</w:t>
            </w:r>
          </w:p>
        </w:tc>
        <w:tc>
          <w:tcPr>
            <w:tcW w:w="3969" w:type="dxa"/>
            <w:vAlign w:val="center"/>
          </w:tcPr>
          <w:p w14:paraId="2FC85DFA">
            <w:pPr>
              <w:snapToGrid w:val="0"/>
              <w:spacing w:line="340" w:lineRule="atLeast"/>
              <w:jc w:val="center"/>
              <w:rPr>
                <w:rFonts w:ascii="黑体" w:hAnsi="黑体" w:eastAsia="黑体" w:cs="黑体"/>
                <w:sz w:val="24"/>
              </w:rPr>
            </w:pPr>
            <w:r>
              <w:rPr>
                <w:rFonts w:hint="eastAsia" w:ascii="黑体" w:hAnsi="黑体" w:eastAsia="黑体" w:cs="黑体"/>
                <w:sz w:val="24"/>
              </w:rPr>
              <w:t>成果内容摘要</w:t>
            </w:r>
          </w:p>
        </w:tc>
        <w:tc>
          <w:tcPr>
            <w:tcW w:w="1418" w:type="dxa"/>
            <w:vAlign w:val="center"/>
          </w:tcPr>
          <w:p w14:paraId="34CA0248">
            <w:pPr>
              <w:snapToGrid w:val="0"/>
              <w:spacing w:line="340" w:lineRule="atLeast"/>
              <w:jc w:val="center"/>
              <w:rPr>
                <w:rFonts w:ascii="黑体" w:hAnsi="黑体" w:eastAsia="黑体" w:cs="黑体"/>
                <w:sz w:val="24"/>
              </w:rPr>
            </w:pPr>
            <w:r>
              <w:rPr>
                <w:rFonts w:hint="eastAsia" w:ascii="黑体" w:hAnsi="黑体" w:eastAsia="黑体" w:cs="黑体"/>
                <w:sz w:val="24"/>
              </w:rPr>
              <w:t>成果完成人</w:t>
            </w:r>
          </w:p>
        </w:tc>
        <w:tc>
          <w:tcPr>
            <w:tcW w:w="1850" w:type="dxa"/>
            <w:vAlign w:val="center"/>
          </w:tcPr>
          <w:p w14:paraId="44C6626B">
            <w:pPr>
              <w:snapToGrid w:val="0"/>
              <w:spacing w:line="340" w:lineRule="atLeast"/>
              <w:jc w:val="center"/>
              <w:rPr>
                <w:rFonts w:ascii="黑体" w:hAnsi="黑体" w:eastAsia="黑体" w:cs="黑体"/>
                <w:sz w:val="24"/>
              </w:rPr>
            </w:pPr>
            <w:r>
              <w:rPr>
                <w:rFonts w:hint="eastAsia" w:ascii="黑体" w:hAnsi="黑体" w:eastAsia="黑体" w:cs="黑体"/>
                <w:sz w:val="24"/>
              </w:rPr>
              <w:t>赋权类型</w:t>
            </w:r>
          </w:p>
        </w:tc>
        <w:tc>
          <w:tcPr>
            <w:tcW w:w="1207" w:type="dxa"/>
            <w:vAlign w:val="center"/>
          </w:tcPr>
          <w:p w14:paraId="09BA69AF">
            <w:pPr>
              <w:snapToGrid w:val="0"/>
              <w:spacing w:line="340" w:lineRule="atLeast"/>
              <w:jc w:val="center"/>
              <w:rPr>
                <w:rFonts w:ascii="黑体" w:hAnsi="黑体" w:eastAsia="黑体" w:cs="黑体"/>
                <w:sz w:val="24"/>
              </w:rPr>
            </w:pPr>
            <w:r>
              <w:rPr>
                <w:rFonts w:hint="eastAsia" w:ascii="黑体" w:hAnsi="黑体" w:eastAsia="黑体" w:cs="黑体"/>
                <w:sz w:val="24"/>
              </w:rPr>
              <w:t>转化</w:t>
            </w:r>
          </w:p>
          <w:p w14:paraId="4F7504A3">
            <w:pPr>
              <w:snapToGrid w:val="0"/>
              <w:spacing w:line="340" w:lineRule="atLeast"/>
              <w:jc w:val="center"/>
              <w:rPr>
                <w:rFonts w:ascii="黑体" w:hAnsi="黑体" w:eastAsia="黑体" w:cs="黑体"/>
                <w:sz w:val="24"/>
              </w:rPr>
            </w:pPr>
            <w:r>
              <w:rPr>
                <w:rFonts w:hint="eastAsia" w:ascii="黑体" w:hAnsi="黑体" w:eastAsia="黑体" w:cs="黑体"/>
                <w:sz w:val="24"/>
              </w:rPr>
              <w:t>方式</w:t>
            </w:r>
          </w:p>
        </w:tc>
        <w:tc>
          <w:tcPr>
            <w:tcW w:w="1195" w:type="dxa"/>
            <w:vAlign w:val="center"/>
          </w:tcPr>
          <w:p w14:paraId="573FC58B">
            <w:pPr>
              <w:snapToGrid w:val="0"/>
              <w:spacing w:line="340" w:lineRule="atLeast"/>
              <w:jc w:val="center"/>
              <w:rPr>
                <w:rFonts w:ascii="黑体" w:hAnsi="黑体" w:eastAsia="黑体" w:cs="黑体"/>
                <w:sz w:val="24"/>
              </w:rPr>
            </w:pPr>
            <w:r>
              <w:rPr>
                <w:rFonts w:hint="eastAsia" w:ascii="黑体" w:hAnsi="黑体" w:eastAsia="黑体" w:cs="黑体"/>
                <w:sz w:val="24"/>
              </w:rPr>
              <w:t>交易金额（万元）</w:t>
            </w:r>
          </w:p>
        </w:tc>
        <w:tc>
          <w:tcPr>
            <w:tcW w:w="1461" w:type="dxa"/>
            <w:vAlign w:val="center"/>
          </w:tcPr>
          <w:p w14:paraId="448A47A7">
            <w:pPr>
              <w:snapToGrid w:val="0"/>
              <w:spacing w:line="340" w:lineRule="atLeast"/>
              <w:jc w:val="center"/>
              <w:rPr>
                <w:rFonts w:ascii="黑体" w:hAnsi="黑体" w:eastAsia="黑体" w:cs="黑体"/>
                <w:sz w:val="24"/>
              </w:rPr>
            </w:pPr>
            <w:r>
              <w:rPr>
                <w:rFonts w:hint="eastAsia" w:ascii="黑体" w:hAnsi="黑体" w:eastAsia="黑体" w:cs="黑体"/>
                <w:sz w:val="24"/>
              </w:rPr>
              <w:t>受让方</w:t>
            </w:r>
          </w:p>
        </w:tc>
        <w:tc>
          <w:tcPr>
            <w:tcW w:w="786" w:type="dxa"/>
            <w:vAlign w:val="center"/>
          </w:tcPr>
          <w:p w14:paraId="07EBA990">
            <w:pPr>
              <w:snapToGrid w:val="0"/>
              <w:spacing w:line="340" w:lineRule="atLeast"/>
              <w:jc w:val="center"/>
              <w:rPr>
                <w:rFonts w:ascii="黑体" w:hAnsi="黑体" w:eastAsia="黑体" w:cs="黑体"/>
                <w:sz w:val="24"/>
              </w:rPr>
            </w:pPr>
            <w:r>
              <w:rPr>
                <w:rFonts w:hint="eastAsia" w:ascii="黑体" w:hAnsi="黑体" w:eastAsia="黑体" w:cs="黑体"/>
                <w:sz w:val="24"/>
              </w:rPr>
              <w:t>备注</w:t>
            </w:r>
          </w:p>
        </w:tc>
      </w:tr>
      <w:tr w14:paraId="792D1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16A30D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zCs w:val="21"/>
              </w:rPr>
            </w:pPr>
            <w:r>
              <w:rPr>
                <w:rFonts w:hint="eastAsia" w:ascii="仿宋" w:hAnsi="仿宋" w:eastAsia="仿宋" w:cs="仿宋"/>
                <w:color w:val="333333"/>
                <w:kern w:val="0"/>
                <w:szCs w:val="21"/>
                <w:shd w:val="clear" w:color="auto" w:fill="FFFFFF"/>
              </w:rPr>
              <w:t>1</w:t>
            </w:r>
          </w:p>
        </w:tc>
        <w:tc>
          <w:tcPr>
            <w:tcW w:w="1407" w:type="dxa"/>
            <w:vAlign w:val="center"/>
          </w:tcPr>
          <w:p w14:paraId="41E10A7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一种纺织生产过程多维信息采集系统及方法</w:t>
            </w:r>
          </w:p>
        </w:tc>
        <w:tc>
          <w:tcPr>
            <w:tcW w:w="3969" w:type="dxa"/>
            <w:vAlign w:val="center"/>
          </w:tcPr>
          <w:p w14:paraId="715B46F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_GB2312" w:eastAsia="仿宋_GB2312"/>
                <w:sz w:val="20"/>
                <w:szCs w:val="20"/>
              </w:rPr>
              <w:t>一种纺织生产过程多维信息采集系统，通过构建三层采集网络，实现企业级冗余工业以太网实现多车间广域范围内的信息交互，同时实现了多维的信息采集。采集网络具有自诊断功能，抗干扰能力强，维护方便。</w:t>
            </w:r>
          </w:p>
        </w:tc>
        <w:tc>
          <w:tcPr>
            <w:tcW w:w="1418" w:type="dxa"/>
            <w:vAlign w:val="center"/>
          </w:tcPr>
          <w:p w14:paraId="55BDE2A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王永华,江豪,张保威,梁家兴,姚廷,王琦,齐松松</w:t>
            </w:r>
          </w:p>
        </w:tc>
        <w:tc>
          <w:tcPr>
            <w:tcW w:w="1850" w:type="dxa"/>
            <w:vAlign w:val="center"/>
          </w:tcPr>
          <w:p w14:paraId="70ADA6D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auto"/>
                <w:spacing w:val="-4"/>
                <w:kern w:val="0"/>
                <w:sz w:val="24"/>
                <w:szCs w:val="24"/>
                <w:lang w:val="en-US" w:eastAsia="zh-CN" w:bidi="ar-SA"/>
              </w:rPr>
              <w:t>所有权（学校10%，成果完成团队90%）</w:t>
            </w:r>
          </w:p>
        </w:tc>
        <w:tc>
          <w:tcPr>
            <w:tcW w:w="1207" w:type="dxa"/>
            <w:vAlign w:val="center"/>
          </w:tcPr>
          <w:p w14:paraId="50E6757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成果转让</w:t>
            </w:r>
          </w:p>
        </w:tc>
        <w:tc>
          <w:tcPr>
            <w:tcW w:w="1195" w:type="dxa"/>
            <w:vAlign w:val="center"/>
          </w:tcPr>
          <w:p w14:paraId="3434939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ascii="仿宋" w:hAnsi="仿宋" w:eastAsia="仿宋" w:cs="仿宋"/>
                <w:snapToGrid w:val="0"/>
                <w:color w:val="000000"/>
                <w:spacing w:val="-4"/>
                <w:kern w:val="0"/>
                <w:szCs w:val="21"/>
              </w:rPr>
              <w:t>4</w:t>
            </w:r>
          </w:p>
        </w:tc>
        <w:tc>
          <w:tcPr>
            <w:tcW w:w="1461" w:type="dxa"/>
            <w:vAlign w:val="center"/>
          </w:tcPr>
          <w:p w14:paraId="6010023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郑州天启自动化系统有限公司</w:t>
            </w:r>
          </w:p>
        </w:tc>
        <w:tc>
          <w:tcPr>
            <w:tcW w:w="786" w:type="dxa"/>
            <w:vAlign w:val="center"/>
          </w:tcPr>
          <w:p w14:paraId="6132E94D">
            <w:pPr>
              <w:keepNext w:val="0"/>
              <w:keepLines w:val="0"/>
              <w:pageBreakBefore w:val="0"/>
              <w:kinsoku/>
              <w:wordWrap/>
              <w:overflowPunct/>
              <w:topLinePunct w:val="0"/>
              <w:autoSpaceDE/>
              <w:autoSpaceDN/>
              <w:bidi w:val="0"/>
              <w:adjustRightInd/>
              <w:snapToGrid/>
              <w:spacing w:line="640" w:lineRule="exact"/>
              <w:jc w:val="center"/>
              <w:textAlignment w:val="auto"/>
              <w:rPr>
                <w:rFonts w:ascii="仿宋" w:hAnsi="仿宋" w:eastAsia="仿宋" w:cs="仿宋"/>
                <w:szCs w:val="21"/>
              </w:rPr>
            </w:pPr>
          </w:p>
        </w:tc>
      </w:tr>
      <w:tr w14:paraId="73019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3838CBA8">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color w:val="333333"/>
                <w:kern w:val="0"/>
                <w:szCs w:val="21"/>
                <w:shd w:val="clear" w:color="auto" w:fill="FFFFFF"/>
              </w:rPr>
            </w:pPr>
            <w:r>
              <w:rPr>
                <w:rFonts w:hint="eastAsia" w:ascii="仿宋" w:hAnsi="仿宋" w:eastAsia="仿宋" w:cs="仿宋"/>
                <w:color w:val="333333"/>
                <w:kern w:val="0"/>
                <w:szCs w:val="21"/>
                <w:shd w:val="clear" w:color="auto" w:fill="FFFFFF"/>
              </w:rPr>
              <w:t>2</w:t>
            </w:r>
          </w:p>
        </w:tc>
        <w:tc>
          <w:tcPr>
            <w:tcW w:w="1407" w:type="dxa"/>
            <w:vAlign w:val="center"/>
          </w:tcPr>
          <w:p w14:paraId="75E9BB1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一种基于RFID的纱管追溯系统及方法</w:t>
            </w:r>
          </w:p>
        </w:tc>
        <w:tc>
          <w:tcPr>
            <w:tcW w:w="3969" w:type="dxa"/>
            <w:vAlign w:val="center"/>
          </w:tcPr>
          <w:p w14:paraId="22BAE04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_GB2312" w:eastAsia="仿宋_GB2312"/>
                <w:sz w:val="20"/>
                <w:szCs w:val="20"/>
              </w:rPr>
              <w:t>一种基于RFID的纱管追溯系统，用以解决现有纺织生产中纱管质量问题故障，在纱管中纱线出现质量问题后通过纱管中RFID在数据库中查找到纱管经过设备的详情，从而快速定位故障设备。纱线质量追溯保证了故障机台及时、快速处理，提高了企业效益。</w:t>
            </w:r>
          </w:p>
        </w:tc>
        <w:tc>
          <w:tcPr>
            <w:tcW w:w="1418" w:type="dxa"/>
            <w:vAlign w:val="center"/>
          </w:tcPr>
          <w:p w14:paraId="763BFBD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王永华,江豪,张保威,齐松松,王琦,姚廷,梁家兴</w:t>
            </w:r>
          </w:p>
        </w:tc>
        <w:tc>
          <w:tcPr>
            <w:tcW w:w="1850" w:type="dxa"/>
            <w:vAlign w:val="center"/>
          </w:tcPr>
          <w:p w14:paraId="7639F37F">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auto"/>
                <w:spacing w:val="-4"/>
                <w:kern w:val="0"/>
                <w:sz w:val="24"/>
                <w:szCs w:val="24"/>
                <w:lang w:val="en-US" w:eastAsia="zh-CN" w:bidi="ar-SA"/>
              </w:rPr>
              <w:t>所有权（学校10%，成果完成团队90%）</w:t>
            </w:r>
          </w:p>
        </w:tc>
        <w:tc>
          <w:tcPr>
            <w:tcW w:w="1207" w:type="dxa"/>
            <w:vAlign w:val="center"/>
          </w:tcPr>
          <w:p w14:paraId="283F418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成果转让</w:t>
            </w:r>
          </w:p>
        </w:tc>
        <w:tc>
          <w:tcPr>
            <w:tcW w:w="1195" w:type="dxa"/>
            <w:vAlign w:val="center"/>
          </w:tcPr>
          <w:p w14:paraId="1DC2A62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ascii="仿宋" w:hAnsi="仿宋" w:eastAsia="仿宋" w:cs="仿宋"/>
                <w:snapToGrid w:val="0"/>
                <w:color w:val="000000"/>
                <w:spacing w:val="-4"/>
                <w:kern w:val="0"/>
                <w:szCs w:val="21"/>
              </w:rPr>
              <w:t>4</w:t>
            </w:r>
          </w:p>
        </w:tc>
        <w:tc>
          <w:tcPr>
            <w:tcW w:w="1461" w:type="dxa"/>
            <w:vAlign w:val="center"/>
          </w:tcPr>
          <w:p w14:paraId="4F6CD72C">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郑州天启自动化系统有限公司</w:t>
            </w:r>
          </w:p>
        </w:tc>
        <w:tc>
          <w:tcPr>
            <w:tcW w:w="786" w:type="dxa"/>
            <w:vAlign w:val="center"/>
          </w:tcPr>
          <w:p w14:paraId="1D8784E2">
            <w:pPr>
              <w:keepNext w:val="0"/>
              <w:keepLines w:val="0"/>
              <w:pageBreakBefore w:val="0"/>
              <w:kinsoku/>
              <w:wordWrap/>
              <w:overflowPunct/>
              <w:topLinePunct w:val="0"/>
              <w:autoSpaceDE/>
              <w:autoSpaceDN/>
              <w:bidi w:val="0"/>
              <w:adjustRightInd/>
              <w:snapToGrid/>
              <w:spacing w:line="640" w:lineRule="exact"/>
              <w:jc w:val="center"/>
              <w:textAlignment w:val="auto"/>
              <w:rPr>
                <w:rFonts w:ascii="仿宋" w:hAnsi="仿宋" w:eastAsia="仿宋" w:cs="仿宋"/>
                <w:szCs w:val="21"/>
              </w:rPr>
            </w:pPr>
          </w:p>
        </w:tc>
      </w:tr>
      <w:tr w14:paraId="24493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3C190950">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color w:val="333333"/>
                <w:kern w:val="0"/>
                <w:szCs w:val="21"/>
                <w:shd w:val="clear" w:color="auto" w:fill="FFFFFF"/>
              </w:rPr>
            </w:pPr>
            <w:r>
              <w:rPr>
                <w:rFonts w:hint="eastAsia" w:ascii="仿宋" w:hAnsi="仿宋" w:eastAsia="仿宋" w:cs="仿宋"/>
                <w:color w:val="333333"/>
                <w:kern w:val="0"/>
                <w:szCs w:val="21"/>
                <w:shd w:val="clear" w:color="auto" w:fill="FFFFFF"/>
              </w:rPr>
              <w:t>3</w:t>
            </w:r>
          </w:p>
        </w:tc>
        <w:tc>
          <w:tcPr>
            <w:tcW w:w="1407" w:type="dxa"/>
            <w:vAlign w:val="center"/>
          </w:tcPr>
          <w:p w14:paraId="27870AD2">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一种基于RFID的织布生产追溯系统及方法</w:t>
            </w:r>
          </w:p>
        </w:tc>
        <w:tc>
          <w:tcPr>
            <w:tcW w:w="3969" w:type="dxa"/>
            <w:vAlign w:val="center"/>
          </w:tcPr>
          <w:p w14:paraId="02B6DC1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_GB2312" w:eastAsia="仿宋_GB2312"/>
                <w:sz w:val="20"/>
                <w:szCs w:val="20"/>
              </w:rPr>
              <w:t>一种基于RFID的织布生产追溯系统，针对现有纺织生产中经轴和布轴数量众多，织布工序无法精准定位和锁定问题机台的技术问题，利用RFID技术能够追溯问题机台以及经轴和布轴的精确位置。</w:t>
            </w:r>
          </w:p>
        </w:tc>
        <w:tc>
          <w:tcPr>
            <w:tcW w:w="1418" w:type="dxa"/>
            <w:vAlign w:val="center"/>
          </w:tcPr>
          <w:p w14:paraId="3C25B12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王永华,江豪,张保威,齐松松,王琦,梁家兴,姚廷</w:t>
            </w:r>
          </w:p>
        </w:tc>
        <w:tc>
          <w:tcPr>
            <w:tcW w:w="1850" w:type="dxa"/>
            <w:vAlign w:val="center"/>
          </w:tcPr>
          <w:p w14:paraId="0D0AD0E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auto"/>
                <w:spacing w:val="-4"/>
                <w:kern w:val="0"/>
                <w:sz w:val="24"/>
                <w:szCs w:val="24"/>
                <w:lang w:val="en-US" w:eastAsia="zh-CN" w:bidi="ar-SA"/>
              </w:rPr>
              <w:t>所有权（学校10%，成果完成团队90%）</w:t>
            </w:r>
          </w:p>
        </w:tc>
        <w:tc>
          <w:tcPr>
            <w:tcW w:w="1207" w:type="dxa"/>
            <w:vAlign w:val="center"/>
          </w:tcPr>
          <w:p w14:paraId="72FC4E28">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成果转让</w:t>
            </w:r>
          </w:p>
        </w:tc>
        <w:tc>
          <w:tcPr>
            <w:tcW w:w="1195" w:type="dxa"/>
            <w:vAlign w:val="center"/>
          </w:tcPr>
          <w:p w14:paraId="544F4F7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ascii="仿宋" w:hAnsi="仿宋" w:eastAsia="仿宋" w:cs="仿宋"/>
                <w:snapToGrid w:val="0"/>
                <w:color w:val="000000"/>
                <w:spacing w:val="-4"/>
                <w:kern w:val="0"/>
                <w:szCs w:val="21"/>
              </w:rPr>
              <w:t>4</w:t>
            </w:r>
          </w:p>
        </w:tc>
        <w:tc>
          <w:tcPr>
            <w:tcW w:w="1461" w:type="dxa"/>
            <w:vAlign w:val="center"/>
          </w:tcPr>
          <w:p w14:paraId="01A94B1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郑州天启自动化系统有限公司</w:t>
            </w:r>
          </w:p>
        </w:tc>
        <w:tc>
          <w:tcPr>
            <w:tcW w:w="786" w:type="dxa"/>
            <w:vAlign w:val="center"/>
          </w:tcPr>
          <w:p w14:paraId="56B2CC02">
            <w:pPr>
              <w:keepNext w:val="0"/>
              <w:keepLines w:val="0"/>
              <w:pageBreakBefore w:val="0"/>
              <w:kinsoku/>
              <w:wordWrap/>
              <w:overflowPunct/>
              <w:topLinePunct w:val="0"/>
              <w:autoSpaceDE/>
              <w:autoSpaceDN/>
              <w:bidi w:val="0"/>
              <w:adjustRightInd/>
              <w:snapToGrid/>
              <w:spacing w:line="640" w:lineRule="exact"/>
              <w:jc w:val="center"/>
              <w:textAlignment w:val="auto"/>
              <w:rPr>
                <w:rFonts w:ascii="仿宋" w:hAnsi="仿宋" w:eastAsia="仿宋" w:cs="仿宋"/>
                <w:szCs w:val="21"/>
              </w:rPr>
            </w:pPr>
          </w:p>
        </w:tc>
      </w:tr>
      <w:tr w14:paraId="06538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AB3BFC1">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color w:val="333333"/>
                <w:kern w:val="0"/>
                <w:szCs w:val="21"/>
                <w:shd w:val="clear" w:color="auto" w:fill="FFFFFF"/>
              </w:rPr>
            </w:pPr>
            <w:r>
              <w:rPr>
                <w:rFonts w:hint="eastAsia" w:ascii="仿宋" w:hAnsi="仿宋" w:eastAsia="仿宋" w:cs="仿宋"/>
                <w:color w:val="333333"/>
                <w:kern w:val="0"/>
                <w:szCs w:val="21"/>
                <w:shd w:val="clear" w:color="auto" w:fill="FFFFFF"/>
              </w:rPr>
              <w:t>4</w:t>
            </w:r>
          </w:p>
        </w:tc>
        <w:tc>
          <w:tcPr>
            <w:tcW w:w="1407" w:type="dxa"/>
            <w:vAlign w:val="center"/>
          </w:tcPr>
          <w:p w14:paraId="2CD0180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基于改进的特征金字塔网络和度量学习的钢轨表面缺陷检测方法</w:t>
            </w:r>
          </w:p>
        </w:tc>
        <w:tc>
          <w:tcPr>
            <w:tcW w:w="3969" w:type="dxa"/>
            <w:vAlign w:val="center"/>
          </w:tcPr>
          <w:p w14:paraId="4636478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_GB2312" w:eastAsia="仿宋_GB2312"/>
                <w:sz w:val="20"/>
                <w:szCs w:val="20"/>
              </w:rPr>
            </w:pPr>
            <w:r>
              <w:rPr>
                <w:rFonts w:hint="eastAsia" w:ascii="仿宋" w:hAnsi="仿宋" w:eastAsia="仿宋" w:cs="仿宋"/>
                <w:snapToGrid w:val="0"/>
                <w:color w:val="000000"/>
                <w:spacing w:val="-4"/>
                <w:kern w:val="0"/>
                <w:szCs w:val="21"/>
              </w:rPr>
              <w:t>本发明公开了一种基于改进的特征金字塔网络和度量学习的钢轨表面缺陷检测方法，利用多模态网络结构和DML嵌入模块的特征向量计算钢轨缺陷分类识别的概率，实现缺陷检测的目标识别和分类。本发明相比其他少样本方法有更好的性能提升。</w:t>
            </w:r>
          </w:p>
        </w:tc>
        <w:tc>
          <w:tcPr>
            <w:tcW w:w="1418" w:type="dxa"/>
            <w:vAlign w:val="center"/>
          </w:tcPr>
          <w:p w14:paraId="2B635D2A">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贺振东;安小宇;刁智华;刘洁;葛世举;赵素娜;何艳;张辉;杨易民;张杰</w:t>
            </w:r>
          </w:p>
        </w:tc>
        <w:tc>
          <w:tcPr>
            <w:tcW w:w="1850" w:type="dxa"/>
            <w:vAlign w:val="center"/>
          </w:tcPr>
          <w:p w14:paraId="1DF9DA8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长期使用权（10年）</w:t>
            </w:r>
          </w:p>
        </w:tc>
        <w:tc>
          <w:tcPr>
            <w:tcW w:w="1207" w:type="dxa"/>
            <w:vAlign w:val="center"/>
          </w:tcPr>
          <w:p w14:paraId="1541C883">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技术许可</w:t>
            </w:r>
          </w:p>
        </w:tc>
        <w:tc>
          <w:tcPr>
            <w:tcW w:w="1195" w:type="dxa"/>
            <w:vAlign w:val="center"/>
          </w:tcPr>
          <w:p w14:paraId="17B5FE0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3</w:t>
            </w:r>
            <w:r>
              <w:rPr>
                <w:rFonts w:ascii="仿宋" w:hAnsi="仿宋" w:eastAsia="仿宋" w:cs="仿宋"/>
                <w:snapToGrid w:val="0"/>
                <w:color w:val="000000"/>
                <w:spacing w:val="-4"/>
                <w:kern w:val="0"/>
                <w:szCs w:val="21"/>
              </w:rPr>
              <w:t>.1</w:t>
            </w:r>
          </w:p>
        </w:tc>
        <w:tc>
          <w:tcPr>
            <w:tcW w:w="1461" w:type="dxa"/>
            <w:vAlign w:val="center"/>
          </w:tcPr>
          <w:p w14:paraId="3BDFA52B">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郑州天启自动化系统有限公司</w:t>
            </w:r>
          </w:p>
        </w:tc>
        <w:tc>
          <w:tcPr>
            <w:tcW w:w="786" w:type="dxa"/>
            <w:vAlign w:val="center"/>
          </w:tcPr>
          <w:p w14:paraId="0DD02CCE">
            <w:pPr>
              <w:keepNext w:val="0"/>
              <w:keepLines w:val="0"/>
              <w:pageBreakBefore w:val="0"/>
              <w:kinsoku/>
              <w:wordWrap/>
              <w:overflowPunct/>
              <w:topLinePunct w:val="0"/>
              <w:autoSpaceDE/>
              <w:autoSpaceDN/>
              <w:bidi w:val="0"/>
              <w:adjustRightInd/>
              <w:snapToGrid/>
              <w:spacing w:line="640" w:lineRule="exact"/>
              <w:jc w:val="center"/>
              <w:textAlignment w:val="auto"/>
              <w:rPr>
                <w:rFonts w:ascii="仿宋" w:hAnsi="仿宋" w:eastAsia="仿宋" w:cs="仿宋"/>
                <w:szCs w:val="21"/>
              </w:rPr>
            </w:pPr>
          </w:p>
        </w:tc>
      </w:tr>
      <w:tr w14:paraId="0F37D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29ACF68">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color w:val="333333"/>
                <w:kern w:val="0"/>
                <w:szCs w:val="21"/>
                <w:shd w:val="clear" w:color="auto" w:fill="FFFFFF"/>
              </w:rPr>
            </w:pPr>
            <w:r>
              <w:rPr>
                <w:rFonts w:hint="eastAsia" w:ascii="仿宋" w:hAnsi="仿宋" w:eastAsia="仿宋" w:cs="仿宋"/>
                <w:color w:val="333333"/>
                <w:kern w:val="0"/>
                <w:szCs w:val="21"/>
                <w:shd w:val="clear" w:color="auto" w:fill="FFFFFF"/>
              </w:rPr>
              <w:t>5</w:t>
            </w:r>
          </w:p>
        </w:tc>
        <w:tc>
          <w:tcPr>
            <w:tcW w:w="1407" w:type="dxa"/>
            <w:vAlign w:val="center"/>
          </w:tcPr>
          <w:p w14:paraId="28139835">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基于自适应弱敏无迹Kalman滤波的直升机状态估计方法</w:t>
            </w:r>
          </w:p>
        </w:tc>
        <w:tc>
          <w:tcPr>
            <w:tcW w:w="3969" w:type="dxa"/>
            <w:vAlign w:val="center"/>
          </w:tcPr>
          <w:p w14:paraId="12C2FFCD">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本发明公开了一种基于无迹Kalman滤波的直升机状态估计方法以解决现有的直升机导航系统滤波精度低，滤波稳定性差的技术问题。本发明的有益技术效果在于：精度高、计算成本小、稳定性强。</w:t>
            </w:r>
          </w:p>
        </w:tc>
        <w:tc>
          <w:tcPr>
            <w:tcW w:w="1418" w:type="dxa"/>
            <w:vAlign w:val="center"/>
          </w:tcPr>
          <w:p w14:paraId="5DDC0714">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szCs w:val="21"/>
                <w:shd w:val="clear" w:color="auto" w:fill="FFFFFF"/>
              </w:rPr>
              <w:t>刘洁、王晓乾、董雅松、娄泰山、赵良玉、贺振东、张云玲、赵素娜、齐仁龙</w:t>
            </w:r>
          </w:p>
        </w:tc>
        <w:tc>
          <w:tcPr>
            <w:tcW w:w="1850" w:type="dxa"/>
            <w:vAlign w:val="center"/>
          </w:tcPr>
          <w:p w14:paraId="5D087F8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长期使用权（10年）</w:t>
            </w:r>
          </w:p>
        </w:tc>
        <w:tc>
          <w:tcPr>
            <w:tcW w:w="1207" w:type="dxa"/>
            <w:vAlign w:val="center"/>
          </w:tcPr>
          <w:p w14:paraId="2A114226">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技术许可</w:t>
            </w:r>
          </w:p>
        </w:tc>
        <w:tc>
          <w:tcPr>
            <w:tcW w:w="1195" w:type="dxa"/>
            <w:vAlign w:val="center"/>
          </w:tcPr>
          <w:p w14:paraId="7323790E">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3</w:t>
            </w:r>
            <w:r>
              <w:rPr>
                <w:rFonts w:ascii="仿宋" w:hAnsi="仿宋" w:eastAsia="仿宋" w:cs="仿宋"/>
                <w:snapToGrid w:val="0"/>
                <w:color w:val="000000"/>
                <w:spacing w:val="-4"/>
                <w:kern w:val="0"/>
                <w:szCs w:val="21"/>
              </w:rPr>
              <w:t>.1</w:t>
            </w:r>
          </w:p>
        </w:tc>
        <w:tc>
          <w:tcPr>
            <w:tcW w:w="1461" w:type="dxa"/>
            <w:vAlign w:val="center"/>
          </w:tcPr>
          <w:p w14:paraId="32E7F257">
            <w:pPr>
              <w:keepNext w:val="0"/>
              <w:keepLines w:val="0"/>
              <w:pageBreakBefore w:val="0"/>
              <w:widowControl/>
              <w:shd w:val="clear" w:color="auto" w:fill="FFFFFF"/>
              <w:kinsoku/>
              <w:wordWrap/>
              <w:overflowPunct/>
              <w:topLinePunct w:val="0"/>
              <w:autoSpaceDE/>
              <w:autoSpaceDN/>
              <w:bidi w:val="0"/>
              <w:adjustRightInd/>
              <w:snapToGrid/>
              <w:spacing w:before="105" w:after="105" w:line="640" w:lineRule="exact"/>
              <w:jc w:val="center"/>
              <w:textAlignment w:val="auto"/>
              <w:rPr>
                <w:rFonts w:ascii="仿宋" w:hAnsi="仿宋" w:eastAsia="仿宋" w:cs="仿宋"/>
                <w:snapToGrid w:val="0"/>
                <w:color w:val="000000"/>
                <w:spacing w:val="-4"/>
                <w:kern w:val="0"/>
                <w:szCs w:val="21"/>
              </w:rPr>
            </w:pPr>
            <w:r>
              <w:rPr>
                <w:rFonts w:hint="eastAsia" w:ascii="仿宋" w:hAnsi="仿宋" w:eastAsia="仿宋" w:cs="仿宋"/>
                <w:snapToGrid w:val="0"/>
                <w:color w:val="000000"/>
                <w:spacing w:val="-4"/>
                <w:kern w:val="0"/>
                <w:szCs w:val="21"/>
              </w:rPr>
              <w:t>郑州天启自动化系统有限公司</w:t>
            </w:r>
          </w:p>
        </w:tc>
        <w:tc>
          <w:tcPr>
            <w:tcW w:w="786" w:type="dxa"/>
            <w:vAlign w:val="center"/>
          </w:tcPr>
          <w:p w14:paraId="0748CEF2">
            <w:pPr>
              <w:keepNext w:val="0"/>
              <w:keepLines w:val="0"/>
              <w:pageBreakBefore w:val="0"/>
              <w:kinsoku/>
              <w:wordWrap/>
              <w:overflowPunct/>
              <w:topLinePunct w:val="0"/>
              <w:autoSpaceDE/>
              <w:autoSpaceDN/>
              <w:bidi w:val="0"/>
              <w:adjustRightInd/>
              <w:snapToGrid/>
              <w:spacing w:line="640" w:lineRule="exact"/>
              <w:jc w:val="center"/>
              <w:textAlignment w:val="auto"/>
              <w:rPr>
                <w:rFonts w:ascii="仿宋" w:hAnsi="仿宋" w:eastAsia="仿宋" w:cs="仿宋"/>
                <w:szCs w:val="21"/>
              </w:rPr>
            </w:pPr>
          </w:p>
        </w:tc>
      </w:tr>
    </w:tbl>
    <w:p w14:paraId="4A0692E2">
      <w:pPr>
        <w:rPr>
          <w:rFonts w:ascii="仿宋" w:hAnsi="仿宋" w:eastAsia="仿宋"/>
          <w:sz w:val="24"/>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0000000000000000000"/>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汉仪正圆 55简">
    <w:altName w:val="宋体"/>
    <w:panose1 w:val="00020600040101010101"/>
    <w:charset w:val="86"/>
    <w:family w:val="roman"/>
    <w:pitch w:val="default"/>
    <w:sig w:usb0="00000000" w:usb1="00000000" w:usb2="00000016" w:usb3="00000000" w:csb0="0004009F" w:csb1="00000000"/>
  </w:font>
  <w:font w:name="汉仪字酷堂长林体W">
    <w:panose1 w:val="00020600040101010101"/>
    <w:charset w:val="86"/>
    <w:family w:val="roman"/>
    <w:pitch w:val="default"/>
    <w:sig w:usb0="8000003F" w:usb1="1AC104FA" w:usb2="00000016" w:usb3="00000000" w:csb0="0004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51754"/>
    <w:rsid w:val="00070345"/>
    <w:rsid w:val="00095C9B"/>
    <w:rsid w:val="000D3EA8"/>
    <w:rsid w:val="000E6367"/>
    <w:rsid w:val="00134853"/>
    <w:rsid w:val="00177E52"/>
    <w:rsid w:val="001858D7"/>
    <w:rsid w:val="001A09BA"/>
    <w:rsid w:val="00240D08"/>
    <w:rsid w:val="00285201"/>
    <w:rsid w:val="002A40B0"/>
    <w:rsid w:val="005440E0"/>
    <w:rsid w:val="0058314F"/>
    <w:rsid w:val="005A21D9"/>
    <w:rsid w:val="00643B2E"/>
    <w:rsid w:val="00652DF4"/>
    <w:rsid w:val="006D4BBF"/>
    <w:rsid w:val="00754366"/>
    <w:rsid w:val="007970B5"/>
    <w:rsid w:val="00851DF2"/>
    <w:rsid w:val="00872187"/>
    <w:rsid w:val="00885780"/>
    <w:rsid w:val="008E442C"/>
    <w:rsid w:val="008F77D8"/>
    <w:rsid w:val="009433FD"/>
    <w:rsid w:val="00974BC3"/>
    <w:rsid w:val="009F3EF3"/>
    <w:rsid w:val="00A316BF"/>
    <w:rsid w:val="00A46857"/>
    <w:rsid w:val="00B006CA"/>
    <w:rsid w:val="00B353F6"/>
    <w:rsid w:val="00B56E65"/>
    <w:rsid w:val="00B87567"/>
    <w:rsid w:val="00C5577C"/>
    <w:rsid w:val="00CF2700"/>
    <w:rsid w:val="00D35412"/>
    <w:rsid w:val="00D945B5"/>
    <w:rsid w:val="00D97240"/>
    <w:rsid w:val="00DC69C9"/>
    <w:rsid w:val="00DD3405"/>
    <w:rsid w:val="00E00439"/>
    <w:rsid w:val="00E8521B"/>
    <w:rsid w:val="00F83813"/>
    <w:rsid w:val="0F2B62DD"/>
    <w:rsid w:val="0FBF6A20"/>
    <w:rsid w:val="1308507D"/>
    <w:rsid w:val="163C6B4E"/>
    <w:rsid w:val="1FAC5225"/>
    <w:rsid w:val="29915111"/>
    <w:rsid w:val="2DA632B9"/>
    <w:rsid w:val="2FA605C9"/>
    <w:rsid w:val="32132900"/>
    <w:rsid w:val="415E2C8C"/>
    <w:rsid w:val="4DE5281D"/>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 w:type="character" w:customStyle="1" w:styleId="8">
    <w:name w:val="fontstyle11"/>
    <w:qFormat/>
    <w:uiPriority w:val="0"/>
    <w:rPr>
      <w:rFonts w:hint="eastAsia" w:ascii="宋体" w:hAnsi="宋体" w:eastAsia="宋体"/>
      <w:color w:val="000000"/>
      <w:sz w:val="22"/>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904</Words>
  <Characters>945</Characters>
  <Lines>7</Lines>
  <Paragraphs>2</Paragraphs>
  <TotalTime>1</TotalTime>
  <ScaleCrop>false</ScaleCrop>
  <LinksUpToDate>false</LinksUpToDate>
  <CharactersWithSpaces>1015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2025-12-31T08:32:04Z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