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A22325">
      <w:pPr>
        <w:keepNext w:val="0"/>
        <w:keepLines w:val="0"/>
        <w:pageBreakBefore w:val="0"/>
        <w:widowControl w:val="0"/>
        <w:kinsoku/>
        <w:wordWrap/>
        <w:overflowPunct/>
        <w:topLinePunct w:val="0"/>
        <w:autoSpaceDE/>
        <w:autoSpaceDN/>
        <w:bidi w:val="0"/>
        <w:adjustRightInd/>
        <w:spacing w:line="640" w:lineRule="exact"/>
        <w:jc w:val="center"/>
        <w:textAlignment w:val="auto"/>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郑州轻工业大学科研成果赋权情况表</w:t>
      </w:r>
    </w:p>
    <w:p w14:paraId="24CCAB8B">
      <w:pPr>
        <w:keepNext w:val="0"/>
        <w:keepLines w:val="0"/>
        <w:pageBreakBefore w:val="0"/>
        <w:widowControl w:val="0"/>
        <w:kinsoku/>
        <w:wordWrap/>
        <w:overflowPunct/>
        <w:topLinePunct w:val="0"/>
        <w:autoSpaceDE/>
        <w:autoSpaceDN/>
        <w:bidi w:val="0"/>
        <w:adjustRightInd/>
        <w:spacing w:before="156" w:beforeLines="50" w:line="640" w:lineRule="exact"/>
        <w:jc w:val="center"/>
        <w:textAlignment w:val="auto"/>
        <w:rPr>
          <w:rFonts w:ascii="仿宋" w:hAnsi="仿宋" w:eastAsia="仿宋" w:cs="仿宋"/>
          <w:sz w:val="28"/>
          <w:szCs w:val="28"/>
        </w:rPr>
      </w:pPr>
      <w:r>
        <w:rPr>
          <w:rFonts w:hint="eastAsia" w:ascii="仿宋" w:hAnsi="仿宋" w:eastAsia="仿宋" w:cs="仿宋"/>
          <w:sz w:val="28"/>
          <w:szCs w:val="28"/>
        </w:rPr>
        <w:t xml:space="preserve">                                                                      时间：202</w:t>
      </w:r>
      <w:r>
        <w:rPr>
          <w:rFonts w:ascii="仿宋" w:hAnsi="仿宋" w:eastAsia="仿宋" w:cs="仿宋"/>
          <w:sz w:val="28"/>
          <w:szCs w:val="28"/>
        </w:rPr>
        <w:t>5</w:t>
      </w:r>
      <w:r>
        <w:rPr>
          <w:rFonts w:hint="eastAsia" w:ascii="仿宋" w:hAnsi="仿宋" w:eastAsia="仿宋" w:cs="仿宋"/>
          <w:sz w:val="28"/>
          <w:szCs w:val="28"/>
        </w:rPr>
        <w:t>年10月</w:t>
      </w:r>
      <w:r>
        <w:rPr>
          <w:rFonts w:hint="eastAsia" w:ascii="仿宋" w:hAnsi="仿宋" w:eastAsia="仿宋" w:cs="仿宋"/>
          <w:sz w:val="28"/>
          <w:szCs w:val="28"/>
          <w:lang w:val="en-US" w:eastAsia="zh-CN"/>
        </w:rPr>
        <w:t>10</w:t>
      </w:r>
      <w:bookmarkStart w:id="2" w:name="_GoBack"/>
      <w:bookmarkEnd w:id="2"/>
      <w:r>
        <w:rPr>
          <w:rFonts w:hint="eastAsia" w:ascii="仿宋" w:hAnsi="仿宋" w:eastAsia="仿宋" w:cs="仿宋"/>
          <w:sz w:val="28"/>
          <w:szCs w:val="28"/>
        </w:rPr>
        <w:t>日</w:t>
      </w:r>
    </w:p>
    <w:tbl>
      <w:tblPr>
        <w:tblStyle w:val="4"/>
        <w:tblpPr w:leftFromText="180" w:rightFromText="180" w:vertAnchor="text" w:horzAnchor="page" w:tblpX="1551" w:tblpY="435"/>
        <w:tblOverlap w:val="never"/>
        <w:tblW w:w="138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1691"/>
        <w:gridCol w:w="4536"/>
        <w:gridCol w:w="1134"/>
        <w:gridCol w:w="1417"/>
        <w:gridCol w:w="1276"/>
        <w:gridCol w:w="1276"/>
        <w:gridCol w:w="1177"/>
        <w:gridCol w:w="786"/>
      </w:tblGrid>
      <w:tr w14:paraId="1C63D3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544" w:type="dxa"/>
            <w:shd w:val="clear" w:color="auto" w:fill="auto"/>
            <w:vAlign w:val="center"/>
          </w:tcPr>
          <w:p w14:paraId="742B6374">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4"/>
                <w:szCs w:val="24"/>
              </w:rPr>
            </w:pPr>
            <w:r>
              <w:rPr>
                <w:rFonts w:hint="eastAsia" w:ascii="仿宋" w:hAnsi="仿宋" w:eastAsia="仿宋" w:cs="仿宋"/>
                <w:sz w:val="24"/>
                <w:szCs w:val="24"/>
              </w:rPr>
              <w:t>序号</w:t>
            </w:r>
          </w:p>
        </w:tc>
        <w:tc>
          <w:tcPr>
            <w:tcW w:w="1691" w:type="dxa"/>
            <w:shd w:val="clear" w:color="auto" w:fill="auto"/>
            <w:vAlign w:val="center"/>
          </w:tcPr>
          <w:p w14:paraId="6D49E1D5">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4"/>
                <w:szCs w:val="24"/>
              </w:rPr>
            </w:pPr>
            <w:r>
              <w:rPr>
                <w:rFonts w:hint="eastAsia" w:ascii="仿宋" w:hAnsi="仿宋" w:eastAsia="仿宋" w:cs="仿宋"/>
                <w:sz w:val="24"/>
                <w:szCs w:val="24"/>
              </w:rPr>
              <w:t>成果名称</w:t>
            </w:r>
          </w:p>
        </w:tc>
        <w:tc>
          <w:tcPr>
            <w:tcW w:w="4536" w:type="dxa"/>
            <w:shd w:val="clear" w:color="auto" w:fill="auto"/>
            <w:vAlign w:val="center"/>
          </w:tcPr>
          <w:p w14:paraId="7FCD55D9">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4"/>
                <w:szCs w:val="24"/>
              </w:rPr>
            </w:pPr>
            <w:r>
              <w:rPr>
                <w:rFonts w:hint="eastAsia" w:ascii="仿宋" w:hAnsi="仿宋" w:eastAsia="仿宋" w:cs="仿宋"/>
                <w:sz w:val="24"/>
                <w:szCs w:val="24"/>
              </w:rPr>
              <w:t>成果内容摘要</w:t>
            </w:r>
          </w:p>
        </w:tc>
        <w:tc>
          <w:tcPr>
            <w:tcW w:w="1134" w:type="dxa"/>
            <w:shd w:val="clear" w:color="auto" w:fill="auto"/>
            <w:vAlign w:val="center"/>
          </w:tcPr>
          <w:p w14:paraId="1604966B">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4"/>
                <w:szCs w:val="24"/>
              </w:rPr>
            </w:pPr>
            <w:r>
              <w:rPr>
                <w:rFonts w:hint="eastAsia" w:ascii="仿宋" w:hAnsi="仿宋" w:eastAsia="仿宋" w:cs="仿宋"/>
                <w:sz w:val="24"/>
                <w:szCs w:val="24"/>
              </w:rPr>
              <w:t>成果完成人</w:t>
            </w:r>
          </w:p>
        </w:tc>
        <w:tc>
          <w:tcPr>
            <w:tcW w:w="1417" w:type="dxa"/>
            <w:shd w:val="clear" w:color="auto" w:fill="auto"/>
            <w:vAlign w:val="center"/>
          </w:tcPr>
          <w:p w14:paraId="7EF7505B">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4"/>
                <w:szCs w:val="24"/>
              </w:rPr>
            </w:pPr>
            <w:r>
              <w:rPr>
                <w:rFonts w:hint="eastAsia" w:ascii="仿宋" w:hAnsi="仿宋" w:eastAsia="仿宋" w:cs="仿宋"/>
                <w:sz w:val="24"/>
                <w:szCs w:val="24"/>
              </w:rPr>
              <w:t>赋权类型</w:t>
            </w:r>
          </w:p>
        </w:tc>
        <w:tc>
          <w:tcPr>
            <w:tcW w:w="1276" w:type="dxa"/>
            <w:shd w:val="clear" w:color="auto" w:fill="auto"/>
            <w:vAlign w:val="center"/>
          </w:tcPr>
          <w:p w14:paraId="2160CA5A">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4"/>
                <w:szCs w:val="24"/>
              </w:rPr>
            </w:pPr>
            <w:r>
              <w:rPr>
                <w:rFonts w:hint="eastAsia" w:ascii="仿宋" w:hAnsi="仿宋" w:eastAsia="仿宋" w:cs="仿宋"/>
                <w:sz w:val="24"/>
                <w:szCs w:val="24"/>
              </w:rPr>
              <w:t>转化</w:t>
            </w:r>
          </w:p>
          <w:p w14:paraId="1E14604C">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4"/>
                <w:szCs w:val="24"/>
              </w:rPr>
            </w:pPr>
            <w:r>
              <w:rPr>
                <w:rFonts w:hint="eastAsia" w:ascii="仿宋" w:hAnsi="仿宋" w:eastAsia="仿宋" w:cs="仿宋"/>
                <w:sz w:val="24"/>
                <w:szCs w:val="24"/>
              </w:rPr>
              <w:t>方式</w:t>
            </w:r>
          </w:p>
        </w:tc>
        <w:tc>
          <w:tcPr>
            <w:tcW w:w="1276" w:type="dxa"/>
            <w:shd w:val="clear" w:color="auto" w:fill="auto"/>
            <w:vAlign w:val="center"/>
          </w:tcPr>
          <w:p w14:paraId="65FAB3D7">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4"/>
                <w:szCs w:val="24"/>
              </w:rPr>
            </w:pPr>
            <w:r>
              <w:rPr>
                <w:rFonts w:hint="eastAsia" w:ascii="仿宋" w:hAnsi="仿宋" w:eastAsia="仿宋" w:cs="仿宋"/>
                <w:sz w:val="24"/>
                <w:szCs w:val="24"/>
              </w:rPr>
              <w:t>交易金额（万元）</w:t>
            </w:r>
          </w:p>
        </w:tc>
        <w:tc>
          <w:tcPr>
            <w:tcW w:w="1177" w:type="dxa"/>
            <w:shd w:val="clear" w:color="auto" w:fill="auto"/>
            <w:vAlign w:val="center"/>
          </w:tcPr>
          <w:p w14:paraId="1746CD57">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4"/>
                <w:szCs w:val="24"/>
              </w:rPr>
            </w:pPr>
            <w:r>
              <w:rPr>
                <w:rFonts w:hint="eastAsia" w:ascii="仿宋" w:hAnsi="仿宋" w:eastAsia="仿宋" w:cs="仿宋"/>
                <w:sz w:val="24"/>
                <w:szCs w:val="24"/>
              </w:rPr>
              <w:t>受让方</w:t>
            </w:r>
          </w:p>
        </w:tc>
        <w:tc>
          <w:tcPr>
            <w:tcW w:w="786" w:type="dxa"/>
            <w:shd w:val="clear" w:color="auto" w:fill="auto"/>
            <w:vAlign w:val="center"/>
          </w:tcPr>
          <w:p w14:paraId="1B57AA20">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4"/>
                <w:szCs w:val="24"/>
              </w:rPr>
            </w:pPr>
            <w:r>
              <w:rPr>
                <w:rFonts w:hint="eastAsia" w:ascii="仿宋" w:hAnsi="仿宋" w:eastAsia="仿宋" w:cs="仿宋"/>
                <w:sz w:val="24"/>
                <w:szCs w:val="24"/>
              </w:rPr>
              <w:t>备注</w:t>
            </w:r>
          </w:p>
        </w:tc>
      </w:tr>
      <w:tr w14:paraId="70D8C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6CCDEF73">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4"/>
                <w:szCs w:val="24"/>
              </w:rPr>
            </w:pPr>
            <w:r>
              <w:rPr>
                <w:rFonts w:hint="eastAsia" w:ascii="仿宋" w:hAnsi="仿宋" w:eastAsia="仿宋" w:cs="仿宋"/>
                <w:sz w:val="24"/>
                <w:szCs w:val="24"/>
              </w:rPr>
              <w:t>1</w:t>
            </w:r>
          </w:p>
        </w:tc>
        <w:tc>
          <w:tcPr>
            <w:tcW w:w="1691" w:type="dxa"/>
            <w:shd w:val="clear" w:color="auto" w:fill="auto"/>
            <w:vAlign w:val="center"/>
          </w:tcPr>
          <w:p w14:paraId="50CBD6BE">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napToGrid w:val="0"/>
                <w:color w:val="000000"/>
                <w:spacing w:val="-4"/>
                <w:kern w:val="0"/>
                <w:sz w:val="24"/>
                <w:szCs w:val="24"/>
              </w:rPr>
            </w:pPr>
            <w:r>
              <w:rPr>
                <w:rFonts w:hint="eastAsia" w:ascii="仿宋" w:hAnsi="仿宋" w:eastAsia="仿宋" w:cs="仿宋"/>
                <w:sz w:val="24"/>
                <w:szCs w:val="24"/>
              </w:rPr>
              <w:t>一种富含色氨酸变性淀粉的制备方法</w:t>
            </w:r>
          </w:p>
        </w:tc>
        <w:tc>
          <w:tcPr>
            <w:tcW w:w="4536" w:type="dxa"/>
            <w:shd w:val="clear" w:color="auto" w:fill="auto"/>
            <w:vAlign w:val="center"/>
          </w:tcPr>
          <w:p w14:paraId="3533C1AF">
            <w:pPr>
              <w:keepNext w:val="0"/>
              <w:keepLines w:val="0"/>
              <w:pageBreakBefore w:val="0"/>
              <w:widowControl w:val="0"/>
              <w:kinsoku/>
              <w:wordWrap/>
              <w:overflowPunct/>
              <w:topLinePunct w:val="0"/>
              <w:autoSpaceDE/>
              <w:autoSpaceDN/>
              <w:bidi w:val="0"/>
              <w:adjustRightInd/>
              <w:spacing w:before="78" w:line="640" w:lineRule="exact"/>
              <w:jc w:val="left"/>
              <w:textAlignment w:val="auto"/>
              <w:rPr>
                <w:rFonts w:hint="eastAsia" w:ascii="仿宋" w:hAnsi="仿宋" w:eastAsia="仿宋" w:cs="仿宋"/>
                <w:snapToGrid w:val="0"/>
                <w:color w:val="000000"/>
                <w:spacing w:val="-4"/>
                <w:kern w:val="0"/>
                <w:sz w:val="24"/>
                <w:szCs w:val="24"/>
              </w:rPr>
            </w:pPr>
            <w:r>
              <w:rPr>
                <w:rFonts w:hint="eastAsia" w:ascii="仿宋" w:hAnsi="仿宋" w:eastAsia="仿宋" w:cs="仿宋"/>
                <w:sz w:val="24"/>
                <w:szCs w:val="24"/>
              </w:rPr>
              <w:t>本发明涉及淀粉复合物生产技术领域，具体涉及一种富含色氨酸变性淀粉的制备方法。以马铃薯淀粉为原料制备B型微晶淀粉，然后将B型微晶淀粉与色氨酸共混，于冷凝回流条件下发生复合反应，使色氨酸进入淀粉的螺旋空腔内形成一种新结晶结构的富含色氨酸变性淀粉。本发明制备的产品系列为无异味、无杂物、细腻的白色粉末，产率10%以上，色氨酸包埋率在15%以上，相对结晶度在45%以上。这种产品添加到动物饲料中，会增加动物的免疫调节作用，有助于提高饲料的利用率，减轻动物的应激反应，促进动物的增长以及降低肝脏中的脂肪含量。</w:t>
            </w:r>
          </w:p>
        </w:tc>
        <w:tc>
          <w:tcPr>
            <w:tcW w:w="1134" w:type="dxa"/>
            <w:shd w:val="clear" w:color="auto" w:fill="auto"/>
            <w:vAlign w:val="center"/>
          </w:tcPr>
          <w:p w14:paraId="14A796B9">
            <w:pPr>
              <w:keepNext w:val="0"/>
              <w:keepLines w:val="0"/>
              <w:pageBreakBefore w:val="0"/>
              <w:widowControl w:val="0"/>
              <w:kinsoku/>
              <w:wordWrap/>
              <w:overflowPunct/>
              <w:topLinePunct w:val="0"/>
              <w:autoSpaceDE/>
              <w:autoSpaceDN/>
              <w:bidi w:val="0"/>
              <w:adjustRightInd/>
              <w:snapToGrid w:val="0"/>
              <w:spacing w:line="640" w:lineRule="exact"/>
              <w:jc w:val="left"/>
              <w:textAlignment w:val="auto"/>
              <w:rPr>
                <w:rFonts w:hint="eastAsia" w:ascii="仿宋" w:hAnsi="仿宋" w:eastAsia="仿宋" w:cs="仿宋"/>
                <w:snapToGrid w:val="0"/>
                <w:color w:val="000000"/>
                <w:spacing w:val="-4"/>
                <w:kern w:val="0"/>
                <w:sz w:val="24"/>
                <w:szCs w:val="24"/>
              </w:rPr>
            </w:pPr>
            <w:r>
              <w:rPr>
                <w:rFonts w:hint="eastAsia" w:ascii="仿宋" w:hAnsi="仿宋" w:eastAsia="仿宋" w:cs="仿宋"/>
                <w:color w:val="000000"/>
                <w:sz w:val="24"/>
                <w:szCs w:val="24"/>
              </w:rPr>
              <w:t>史苗苗</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刘华玲</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闫溢哲</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刘延奇</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周亚萍</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杨留枝</w:t>
            </w:r>
            <w:r>
              <w:rPr>
                <w:rFonts w:hint="eastAsia" w:ascii="仿宋" w:hAnsi="仿宋" w:eastAsia="仿宋" w:cs="仿宋"/>
                <w:sz w:val="24"/>
                <w:szCs w:val="24"/>
              </w:rPr>
              <w:t xml:space="preserve">    </w:t>
            </w:r>
          </w:p>
        </w:tc>
        <w:tc>
          <w:tcPr>
            <w:tcW w:w="1417" w:type="dxa"/>
            <w:shd w:val="clear" w:color="auto" w:fill="auto"/>
            <w:vAlign w:val="center"/>
          </w:tcPr>
          <w:p w14:paraId="7C7D538B">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napToGrid w:val="0"/>
                <w:color w:val="000000"/>
                <w:spacing w:val="-4"/>
                <w:kern w:val="0"/>
                <w:sz w:val="24"/>
                <w:szCs w:val="24"/>
              </w:rPr>
            </w:pPr>
            <w:bookmarkStart w:id="0" w:name="OLE_LINK6"/>
            <w:bookmarkStart w:id="1" w:name="OLE_LINK5"/>
            <w:r>
              <w:rPr>
                <w:rFonts w:hint="eastAsia" w:ascii="仿宋" w:hAnsi="仿宋" w:eastAsia="仿宋" w:cs="仿宋"/>
                <w:snapToGrid w:val="0"/>
                <w:spacing w:val="-4"/>
                <w:kern w:val="0"/>
                <w:sz w:val="24"/>
                <w:szCs w:val="24"/>
              </w:rPr>
              <w:t>长期使用权（10年）</w:t>
            </w:r>
            <w:bookmarkEnd w:id="0"/>
            <w:bookmarkEnd w:id="1"/>
          </w:p>
        </w:tc>
        <w:tc>
          <w:tcPr>
            <w:tcW w:w="1276" w:type="dxa"/>
            <w:shd w:val="clear" w:color="auto" w:fill="auto"/>
            <w:vAlign w:val="center"/>
          </w:tcPr>
          <w:p w14:paraId="37A4443F">
            <w:pPr>
              <w:keepNext w:val="0"/>
              <w:keepLines w:val="0"/>
              <w:pageBreakBefore w:val="0"/>
              <w:widowControl w:val="0"/>
              <w:kinsoku/>
              <w:wordWrap/>
              <w:overflowPunct/>
              <w:topLinePunct w:val="0"/>
              <w:autoSpaceDE/>
              <w:autoSpaceDN/>
              <w:bidi w:val="0"/>
              <w:adjustRightInd/>
              <w:spacing w:line="640" w:lineRule="exact"/>
              <w:jc w:val="center"/>
              <w:textAlignment w:val="auto"/>
              <w:rPr>
                <w:rFonts w:hint="eastAsia" w:ascii="仿宋" w:hAnsi="仿宋" w:eastAsia="仿宋" w:cs="仿宋"/>
                <w:sz w:val="24"/>
                <w:szCs w:val="24"/>
              </w:rPr>
            </w:pPr>
            <w:r>
              <w:rPr>
                <w:rFonts w:hint="eastAsia" w:ascii="仿宋" w:hAnsi="仿宋" w:eastAsia="仿宋" w:cs="仿宋"/>
                <w:sz w:val="24"/>
                <w:szCs w:val="24"/>
              </w:rPr>
              <w:t>技术许可</w:t>
            </w:r>
          </w:p>
          <w:p w14:paraId="2E73FBCC">
            <w:pPr>
              <w:keepNext w:val="0"/>
              <w:keepLines w:val="0"/>
              <w:pageBreakBefore w:val="0"/>
              <w:widowControl w:val="0"/>
              <w:kinsoku/>
              <w:wordWrap/>
              <w:overflowPunct/>
              <w:topLinePunct w:val="0"/>
              <w:autoSpaceDE/>
              <w:autoSpaceDN/>
              <w:bidi w:val="0"/>
              <w:adjustRightInd/>
              <w:spacing w:line="640" w:lineRule="exact"/>
              <w:jc w:val="center"/>
              <w:textAlignment w:val="auto"/>
              <w:rPr>
                <w:rFonts w:hint="eastAsia" w:ascii="仿宋" w:hAnsi="仿宋" w:eastAsia="仿宋" w:cs="仿宋"/>
                <w:sz w:val="24"/>
                <w:szCs w:val="24"/>
              </w:rPr>
            </w:pPr>
          </w:p>
        </w:tc>
        <w:tc>
          <w:tcPr>
            <w:tcW w:w="1276" w:type="dxa"/>
            <w:shd w:val="clear" w:color="auto" w:fill="auto"/>
            <w:vAlign w:val="center"/>
          </w:tcPr>
          <w:p w14:paraId="0408F911">
            <w:pPr>
              <w:keepNext w:val="0"/>
              <w:keepLines w:val="0"/>
              <w:pageBreakBefore w:val="0"/>
              <w:widowControl w:val="0"/>
              <w:kinsoku/>
              <w:wordWrap/>
              <w:overflowPunct/>
              <w:topLinePunct w:val="0"/>
              <w:autoSpaceDE/>
              <w:autoSpaceDN/>
              <w:bidi w:val="0"/>
              <w:adjustRightInd/>
              <w:spacing w:line="640" w:lineRule="exact"/>
              <w:jc w:val="center"/>
              <w:textAlignment w:val="auto"/>
              <w:rPr>
                <w:rFonts w:hint="eastAsia" w:ascii="仿宋" w:hAnsi="仿宋" w:eastAsia="仿宋" w:cs="仿宋"/>
                <w:sz w:val="24"/>
                <w:szCs w:val="24"/>
              </w:rPr>
            </w:pPr>
            <w:r>
              <w:rPr>
                <w:rFonts w:hint="eastAsia" w:ascii="仿宋" w:hAnsi="仿宋" w:eastAsia="仿宋" w:cs="仿宋"/>
                <w:sz w:val="24"/>
                <w:szCs w:val="24"/>
              </w:rPr>
              <w:t>30</w:t>
            </w:r>
          </w:p>
        </w:tc>
        <w:tc>
          <w:tcPr>
            <w:tcW w:w="1177" w:type="dxa"/>
            <w:shd w:val="clear" w:color="auto" w:fill="auto"/>
            <w:vAlign w:val="center"/>
          </w:tcPr>
          <w:p w14:paraId="468062D1">
            <w:pPr>
              <w:keepNext w:val="0"/>
              <w:keepLines w:val="0"/>
              <w:pageBreakBefore w:val="0"/>
              <w:widowControl w:val="0"/>
              <w:kinsoku/>
              <w:wordWrap/>
              <w:overflowPunct/>
              <w:topLinePunct w:val="0"/>
              <w:autoSpaceDE/>
              <w:autoSpaceDN/>
              <w:bidi w:val="0"/>
              <w:adjustRightInd/>
              <w:spacing w:line="640" w:lineRule="exact"/>
              <w:jc w:val="center"/>
              <w:textAlignment w:val="auto"/>
              <w:rPr>
                <w:rFonts w:hint="eastAsia" w:ascii="仿宋" w:hAnsi="仿宋" w:eastAsia="仿宋" w:cs="仿宋"/>
                <w:snapToGrid w:val="0"/>
                <w:color w:val="000000"/>
                <w:spacing w:val="-3"/>
                <w:kern w:val="0"/>
                <w:sz w:val="24"/>
                <w:szCs w:val="24"/>
              </w:rPr>
            </w:pPr>
            <w:r>
              <w:rPr>
                <w:rFonts w:hint="eastAsia" w:ascii="仿宋" w:hAnsi="仿宋" w:eastAsia="仿宋" w:cs="仿宋"/>
                <w:snapToGrid w:val="0"/>
                <w:color w:val="000000"/>
                <w:spacing w:val="-3"/>
                <w:kern w:val="0"/>
                <w:sz w:val="24"/>
                <w:szCs w:val="24"/>
              </w:rPr>
              <w:t>郑州协创纳米材料研究院</w:t>
            </w:r>
          </w:p>
        </w:tc>
        <w:tc>
          <w:tcPr>
            <w:tcW w:w="786" w:type="dxa"/>
            <w:shd w:val="clear" w:color="auto" w:fill="auto"/>
            <w:vAlign w:val="center"/>
          </w:tcPr>
          <w:p w14:paraId="7DCE3C7B">
            <w:pPr>
              <w:keepNext w:val="0"/>
              <w:keepLines w:val="0"/>
              <w:pageBreakBefore w:val="0"/>
              <w:widowControl w:val="0"/>
              <w:kinsoku/>
              <w:wordWrap/>
              <w:overflowPunct/>
              <w:topLinePunct w:val="0"/>
              <w:autoSpaceDE/>
              <w:autoSpaceDN/>
              <w:bidi w:val="0"/>
              <w:adjustRightInd/>
              <w:spacing w:line="640" w:lineRule="exact"/>
              <w:jc w:val="center"/>
              <w:textAlignment w:val="auto"/>
              <w:rPr>
                <w:rFonts w:hint="eastAsia" w:ascii="仿宋" w:hAnsi="仿宋" w:eastAsia="仿宋" w:cs="仿宋"/>
                <w:sz w:val="24"/>
                <w:szCs w:val="24"/>
              </w:rPr>
            </w:pPr>
          </w:p>
        </w:tc>
      </w:tr>
      <w:tr w14:paraId="3C8C2C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1195A726">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w:t>
            </w:r>
          </w:p>
        </w:tc>
        <w:tc>
          <w:tcPr>
            <w:tcW w:w="1691" w:type="dxa"/>
            <w:shd w:val="clear" w:color="auto" w:fill="auto"/>
            <w:vAlign w:val="center"/>
          </w:tcPr>
          <w:p w14:paraId="01AB02C4">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napToGrid w:val="0"/>
                <w:color w:val="000000"/>
                <w:spacing w:val="-4"/>
                <w:kern w:val="0"/>
                <w:sz w:val="24"/>
                <w:szCs w:val="24"/>
                <w:lang w:val="en-US" w:eastAsia="zh-CN" w:bidi="ar-SA"/>
              </w:rPr>
            </w:pPr>
            <w:r>
              <w:rPr>
                <w:rFonts w:hint="eastAsia" w:ascii="仿宋" w:hAnsi="仿宋" w:eastAsia="仿宋" w:cs="仿宋"/>
                <w:snapToGrid w:val="0"/>
                <w:color w:val="000000"/>
                <w:spacing w:val="-4"/>
                <w:kern w:val="0"/>
                <w:sz w:val="24"/>
                <w:szCs w:val="24"/>
              </w:rPr>
              <w:t>一种多模式超声波辅助醒发非发酵面团的方法</w:t>
            </w:r>
          </w:p>
        </w:tc>
        <w:tc>
          <w:tcPr>
            <w:tcW w:w="4536" w:type="dxa"/>
            <w:shd w:val="clear" w:color="auto" w:fill="auto"/>
            <w:vAlign w:val="center"/>
          </w:tcPr>
          <w:p w14:paraId="4E5D17FC">
            <w:pPr>
              <w:keepNext w:val="0"/>
              <w:keepLines w:val="0"/>
              <w:pageBreakBefore w:val="0"/>
              <w:widowControl w:val="0"/>
              <w:kinsoku/>
              <w:wordWrap/>
              <w:overflowPunct/>
              <w:topLinePunct w:val="0"/>
              <w:autoSpaceDE/>
              <w:autoSpaceDN/>
              <w:bidi w:val="0"/>
              <w:adjustRightInd/>
              <w:spacing w:before="78" w:line="640" w:lineRule="exact"/>
              <w:jc w:val="left"/>
              <w:textAlignment w:val="auto"/>
              <w:rPr>
                <w:rFonts w:hint="eastAsia" w:ascii="仿宋" w:hAnsi="仿宋" w:eastAsia="仿宋" w:cs="仿宋"/>
                <w:snapToGrid w:val="0"/>
                <w:color w:val="000000"/>
                <w:spacing w:val="-4"/>
                <w:kern w:val="0"/>
                <w:sz w:val="24"/>
                <w:szCs w:val="24"/>
                <w:lang w:val="en-US" w:eastAsia="zh-CN" w:bidi="ar-SA"/>
              </w:rPr>
            </w:pPr>
            <w:r>
              <w:rPr>
                <w:rFonts w:hint="eastAsia" w:ascii="仿宋" w:hAnsi="仿宋" w:eastAsia="仿宋" w:cs="仿宋"/>
                <w:snapToGrid w:val="0"/>
                <w:color w:val="000000"/>
                <w:spacing w:val="-4"/>
                <w:kern w:val="0"/>
                <w:sz w:val="24"/>
                <w:szCs w:val="24"/>
              </w:rPr>
              <w:t>本发明具体涉及一种多模式超声波辅助醒发非发酵面团的方法。分别利用发散式和聚能式超声波辅助醒发面团。使得面团的弹性模量提高10.74%～66.10%；粘性模量下降4.46%～29.40；损耗角正切下降1.79%～16.20%。强结合水提高2.60%～44.16%；弱结合水下降2.95%～22.00%；自由水含量提高13.18%～25.43%。本发明利用超声波的空化作用，改善了面团的流变学特性，加速了面团醒发过程中的水分分布，具有较好地实际应用价值。</w:t>
            </w:r>
          </w:p>
        </w:tc>
        <w:tc>
          <w:tcPr>
            <w:tcW w:w="1134" w:type="dxa"/>
            <w:shd w:val="clear" w:color="auto" w:fill="auto"/>
            <w:vAlign w:val="center"/>
          </w:tcPr>
          <w:p w14:paraId="2EF16927">
            <w:pPr>
              <w:keepNext w:val="0"/>
              <w:keepLines w:val="0"/>
              <w:pageBreakBefore w:val="0"/>
              <w:widowControl w:val="0"/>
              <w:kinsoku/>
              <w:wordWrap/>
              <w:overflowPunct/>
              <w:topLinePunct w:val="0"/>
              <w:autoSpaceDE/>
              <w:autoSpaceDN/>
              <w:bidi w:val="0"/>
              <w:adjustRightInd/>
              <w:snapToGrid w:val="0"/>
              <w:spacing w:line="640" w:lineRule="exact"/>
              <w:jc w:val="left"/>
              <w:textAlignment w:val="auto"/>
              <w:rPr>
                <w:rFonts w:hint="eastAsia" w:ascii="仿宋" w:hAnsi="仿宋" w:eastAsia="仿宋" w:cs="仿宋"/>
                <w:snapToGrid w:val="0"/>
                <w:color w:val="000000"/>
                <w:spacing w:val="-4"/>
                <w:kern w:val="0"/>
                <w:sz w:val="24"/>
                <w:szCs w:val="24"/>
                <w:lang w:val="en-US" w:eastAsia="zh-CN" w:bidi="ar-SA"/>
              </w:rPr>
            </w:pPr>
            <w:r>
              <w:rPr>
                <w:rFonts w:hint="eastAsia" w:ascii="仿宋" w:hAnsi="仿宋" w:eastAsia="仿宋" w:cs="仿宋"/>
                <w:snapToGrid w:val="0"/>
                <w:color w:val="000000"/>
                <w:spacing w:val="-4"/>
                <w:kern w:val="0"/>
                <w:sz w:val="24"/>
                <w:szCs w:val="24"/>
              </w:rPr>
              <w:t>张艳艳、刘兴丽、王宏伟、张华、李素云、刘骁、李银丽</w:t>
            </w:r>
          </w:p>
        </w:tc>
        <w:tc>
          <w:tcPr>
            <w:tcW w:w="1417" w:type="dxa"/>
            <w:shd w:val="clear" w:color="auto" w:fill="auto"/>
            <w:vAlign w:val="center"/>
          </w:tcPr>
          <w:p w14:paraId="0D8F1F03">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napToGrid w:val="0"/>
                <w:color w:val="000000"/>
                <w:spacing w:val="-4"/>
                <w:kern w:val="0"/>
                <w:sz w:val="24"/>
                <w:szCs w:val="24"/>
                <w:lang w:val="en-US" w:eastAsia="zh-CN" w:bidi="ar-SA"/>
              </w:rPr>
            </w:pPr>
            <w:r>
              <w:rPr>
                <w:rFonts w:hint="eastAsia" w:ascii="仿宋" w:hAnsi="仿宋" w:eastAsia="仿宋" w:cs="仿宋"/>
                <w:snapToGrid w:val="0"/>
                <w:color w:val="000000"/>
                <w:spacing w:val="-4"/>
                <w:kern w:val="0"/>
                <w:sz w:val="24"/>
                <w:szCs w:val="24"/>
              </w:rPr>
              <w:t>长期使用权（10年）</w:t>
            </w:r>
          </w:p>
        </w:tc>
        <w:tc>
          <w:tcPr>
            <w:tcW w:w="1276" w:type="dxa"/>
            <w:shd w:val="clear" w:color="auto" w:fill="auto"/>
            <w:vAlign w:val="center"/>
          </w:tcPr>
          <w:p w14:paraId="6A28FB7F">
            <w:pPr>
              <w:keepNext w:val="0"/>
              <w:keepLines w:val="0"/>
              <w:pageBreakBefore w:val="0"/>
              <w:widowControl w:val="0"/>
              <w:kinsoku/>
              <w:wordWrap/>
              <w:overflowPunct/>
              <w:topLinePunct w:val="0"/>
              <w:autoSpaceDE/>
              <w:autoSpaceDN/>
              <w:bidi w:val="0"/>
              <w:adjustRightInd/>
              <w:spacing w:line="640" w:lineRule="exact"/>
              <w:jc w:val="center"/>
              <w:textAlignment w:val="auto"/>
              <w:rPr>
                <w:rFonts w:hint="eastAsia" w:ascii="仿宋" w:hAnsi="仿宋" w:eastAsia="仿宋" w:cs="仿宋"/>
                <w:kern w:val="2"/>
                <w:sz w:val="24"/>
                <w:szCs w:val="24"/>
                <w:lang w:val="en-US" w:eastAsia="zh-CN" w:bidi="ar-SA"/>
              </w:rPr>
            </w:pPr>
            <w:r>
              <w:rPr>
                <w:rFonts w:hint="eastAsia" w:ascii="仿宋" w:hAnsi="仿宋" w:eastAsia="仿宋" w:cs="仿宋"/>
                <w:sz w:val="24"/>
                <w:szCs w:val="24"/>
              </w:rPr>
              <w:t>技术许可</w:t>
            </w:r>
          </w:p>
        </w:tc>
        <w:tc>
          <w:tcPr>
            <w:tcW w:w="1276" w:type="dxa"/>
            <w:shd w:val="clear" w:color="auto" w:fill="auto"/>
            <w:vAlign w:val="center"/>
          </w:tcPr>
          <w:p w14:paraId="4AA1EB8C">
            <w:pPr>
              <w:keepNext w:val="0"/>
              <w:keepLines w:val="0"/>
              <w:pageBreakBefore w:val="0"/>
              <w:widowControl w:val="0"/>
              <w:kinsoku/>
              <w:wordWrap/>
              <w:overflowPunct/>
              <w:topLinePunct w:val="0"/>
              <w:autoSpaceDE/>
              <w:autoSpaceDN/>
              <w:bidi w:val="0"/>
              <w:adjustRightInd/>
              <w:spacing w:line="640" w:lineRule="exact"/>
              <w:jc w:val="center"/>
              <w:textAlignment w:val="auto"/>
              <w:rPr>
                <w:rFonts w:hint="eastAsia" w:ascii="仿宋" w:hAnsi="仿宋" w:eastAsia="仿宋" w:cs="仿宋"/>
                <w:kern w:val="2"/>
                <w:sz w:val="24"/>
                <w:szCs w:val="24"/>
                <w:lang w:val="en-US" w:eastAsia="zh-CN" w:bidi="ar-SA"/>
              </w:rPr>
            </w:pPr>
            <w:r>
              <w:rPr>
                <w:rFonts w:hint="eastAsia" w:ascii="仿宋" w:hAnsi="仿宋" w:eastAsia="仿宋" w:cs="仿宋"/>
                <w:sz w:val="24"/>
                <w:szCs w:val="24"/>
              </w:rPr>
              <w:t>30</w:t>
            </w:r>
          </w:p>
        </w:tc>
        <w:tc>
          <w:tcPr>
            <w:tcW w:w="1177" w:type="dxa"/>
            <w:shd w:val="clear" w:color="auto" w:fill="auto"/>
            <w:vAlign w:val="center"/>
          </w:tcPr>
          <w:p w14:paraId="2260E7B2">
            <w:pPr>
              <w:keepNext w:val="0"/>
              <w:keepLines w:val="0"/>
              <w:pageBreakBefore w:val="0"/>
              <w:widowControl w:val="0"/>
              <w:kinsoku/>
              <w:wordWrap/>
              <w:overflowPunct/>
              <w:topLinePunct w:val="0"/>
              <w:autoSpaceDE/>
              <w:autoSpaceDN/>
              <w:bidi w:val="0"/>
              <w:adjustRightInd/>
              <w:spacing w:line="640" w:lineRule="exact"/>
              <w:jc w:val="center"/>
              <w:textAlignment w:val="auto"/>
              <w:rPr>
                <w:rFonts w:hint="eastAsia" w:ascii="仿宋" w:hAnsi="仿宋" w:eastAsia="仿宋" w:cs="仿宋"/>
                <w:snapToGrid w:val="0"/>
                <w:color w:val="000000"/>
                <w:spacing w:val="-3"/>
                <w:kern w:val="0"/>
                <w:sz w:val="24"/>
                <w:szCs w:val="24"/>
                <w:lang w:val="en-US" w:eastAsia="zh-CN" w:bidi="ar-SA"/>
              </w:rPr>
            </w:pPr>
            <w:r>
              <w:rPr>
                <w:rFonts w:hint="eastAsia" w:ascii="仿宋" w:hAnsi="仿宋" w:eastAsia="仿宋" w:cs="仿宋"/>
                <w:snapToGrid w:val="0"/>
                <w:color w:val="000000"/>
                <w:spacing w:val="-3"/>
                <w:kern w:val="0"/>
                <w:sz w:val="24"/>
                <w:szCs w:val="24"/>
              </w:rPr>
              <w:t>郑州厨来香食品有限公司</w:t>
            </w:r>
          </w:p>
        </w:tc>
        <w:tc>
          <w:tcPr>
            <w:tcW w:w="786" w:type="dxa"/>
            <w:shd w:val="clear" w:color="auto" w:fill="auto"/>
            <w:vAlign w:val="center"/>
          </w:tcPr>
          <w:p w14:paraId="62888F45">
            <w:pPr>
              <w:keepNext w:val="0"/>
              <w:keepLines w:val="0"/>
              <w:pageBreakBefore w:val="0"/>
              <w:widowControl w:val="0"/>
              <w:kinsoku/>
              <w:wordWrap/>
              <w:overflowPunct/>
              <w:topLinePunct w:val="0"/>
              <w:autoSpaceDE/>
              <w:autoSpaceDN/>
              <w:bidi w:val="0"/>
              <w:adjustRightInd/>
              <w:spacing w:line="640" w:lineRule="exact"/>
              <w:jc w:val="center"/>
              <w:textAlignment w:val="auto"/>
              <w:rPr>
                <w:rFonts w:hint="eastAsia" w:ascii="仿宋" w:hAnsi="仿宋" w:eastAsia="仿宋" w:cs="仿宋"/>
                <w:kern w:val="2"/>
                <w:sz w:val="24"/>
                <w:szCs w:val="24"/>
                <w:lang w:val="en-US" w:eastAsia="zh-CN" w:bidi="ar-SA"/>
              </w:rPr>
            </w:pPr>
          </w:p>
        </w:tc>
      </w:tr>
    </w:tbl>
    <w:p w14:paraId="5A0F20DE"/>
    <w:p w14:paraId="784F035E"/>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Arial Unicode MS"/>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FZSongS--GB1-5">
    <w:altName w:val="Cambria"/>
    <w:panose1 w:val="00000000000000000000"/>
    <w:charset w:val="00"/>
    <w:family w:val="roman"/>
    <w:pitch w:val="default"/>
    <w:sig w:usb0="00000000" w:usb1="00000000" w:usb2="00000000" w:usb3="00000000" w:csb0="00000000" w:csb1="00000000"/>
  </w:font>
  <w:font w:name="Cambria">
    <w:panose1 w:val="02040503050406030204"/>
    <w:charset w:val="00"/>
    <w:family w:val="auto"/>
    <w:pitch w:val="default"/>
    <w:sig w:usb0="E00002FF" w:usb1="400004FF" w:usb2="00000000" w:usb3="00000000" w:csb0="2000019F"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Q1ZmM5M2NiYzViNjc4ZWU1ODNmMjFmYjE5YjlkNzIifQ=="/>
  </w:docVars>
  <w:rsids>
    <w:rsidRoot w:val="1308507D"/>
    <w:rsid w:val="001E4A0D"/>
    <w:rsid w:val="003B65C7"/>
    <w:rsid w:val="00472A0F"/>
    <w:rsid w:val="004A5B1A"/>
    <w:rsid w:val="0050575B"/>
    <w:rsid w:val="005A70FE"/>
    <w:rsid w:val="0068082D"/>
    <w:rsid w:val="00795065"/>
    <w:rsid w:val="007C7D0C"/>
    <w:rsid w:val="00806905"/>
    <w:rsid w:val="00BE160B"/>
    <w:rsid w:val="00C068B5"/>
    <w:rsid w:val="00D60A1C"/>
    <w:rsid w:val="00DF06CD"/>
    <w:rsid w:val="00E933FA"/>
    <w:rsid w:val="00EA580A"/>
    <w:rsid w:val="00EB454D"/>
    <w:rsid w:val="0BCD7310"/>
    <w:rsid w:val="0F2B62DD"/>
    <w:rsid w:val="1308507D"/>
    <w:rsid w:val="415E2C8C"/>
    <w:rsid w:val="50D852D8"/>
    <w:rsid w:val="58406388"/>
    <w:rsid w:val="787023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link w:val="6"/>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0"/>
    <w:rPr>
      <w:rFonts w:ascii="Calibri" w:hAnsi="Calibri"/>
      <w:kern w:val="2"/>
      <w:sz w:val="18"/>
      <w:szCs w:val="18"/>
    </w:rPr>
  </w:style>
  <w:style w:type="character" w:customStyle="1" w:styleId="7">
    <w:name w:val="页脚 Char"/>
    <w:basedOn w:val="5"/>
    <w:link w:val="2"/>
    <w:qFormat/>
    <w:uiPriority w:val="0"/>
    <w:rPr>
      <w:rFonts w:ascii="Calibri" w:hAnsi="Calibr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388</Words>
  <Characters>404</Characters>
  <Lines>3</Lines>
  <Paragraphs>1</Paragraphs>
  <TotalTime>5</TotalTime>
  <ScaleCrop>false</ScaleCrop>
  <LinksUpToDate>false</LinksUpToDate>
  <CharactersWithSpaces>478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2022-07-25T00:53:00Z</dcterms:created>
  <dc:creator>文档存本地丢失不负责</dc:creator>
  <cp:lastModifiedBy>鲍雅如</cp:lastModifiedBy>
  <cp:lastPrinted>2022-07-25T02:39:00Z</cp:lastPrinted>
  <dcterms:modified xsi:type="dcterms:W3CDTF">2025-10-10T07:31:04Z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04E34C3E7BF5406E98A6D3A2BBB78A85_13</vt:lpwstr>
  </property>
  <property fmtid="{D5CDD505-2E9C-101B-9397-08002B2CF9AE}" pid="4" name="KSOTemplateDocerSaveRecord">
    <vt:lpwstr>eyJoZGlkIjoiNjRiMWNhNzcyYTNmZTkwZTQxMjQ2NTA4NDVmOGU4OGYiLCJ1c2VySWQiOiIzMDA5MzIwNzcifQ==</vt:lpwstr>
  </property>
</Properties>
</file>