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1783F2">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郑州轻工业大学</w:t>
      </w:r>
      <w:r>
        <w:rPr>
          <w:rFonts w:hint="eastAsia" w:ascii="方正小标宋简体" w:hAnsi="方正小标宋简体" w:eastAsia="方正小标宋简体" w:cs="方正小标宋简体"/>
          <w:sz w:val="44"/>
          <w:szCs w:val="44"/>
          <w:lang w:eastAsia="zh-CN"/>
        </w:rPr>
        <w:t>科研成果赋权情况表</w:t>
      </w:r>
    </w:p>
    <w:p w14:paraId="40845644">
      <w:pPr>
        <w:spacing w:before="156" w:beforeLines="50"/>
        <w:jc w:val="center"/>
        <w:rPr>
          <w:rFonts w:hint="default" w:ascii="仿宋" w:hAnsi="仿宋" w:eastAsia="仿宋" w:cs="仿宋"/>
          <w:sz w:val="28"/>
          <w:szCs w:val="28"/>
          <w:lang w:val="en-US"/>
        </w:rPr>
      </w:pPr>
      <w:r>
        <w:rPr>
          <w:rFonts w:hint="eastAsia" w:ascii="仿宋" w:hAnsi="仿宋" w:eastAsia="仿宋" w:cs="仿宋"/>
          <w:sz w:val="28"/>
          <w:szCs w:val="28"/>
        </w:rPr>
        <w:t xml:space="preserve">                                                                      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11</w:t>
      </w:r>
      <w:r>
        <w:rPr>
          <w:rFonts w:hint="eastAsia" w:ascii="仿宋" w:hAnsi="仿宋" w:eastAsia="仿宋" w:cs="仿宋"/>
          <w:sz w:val="28"/>
          <w:szCs w:val="28"/>
        </w:rPr>
        <w:t>月</w:t>
      </w:r>
      <w:r>
        <w:rPr>
          <w:rFonts w:hint="eastAsia" w:ascii="仿宋" w:hAnsi="仿宋" w:eastAsia="仿宋" w:cs="仿宋"/>
          <w:sz w:val="28"/>
          <w:szCs w:val="28"/>
          <w:lang w:val="en-US" w:eastAsia="zh-CN"/>
        </w:rPr>
        <w:t>6日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301"/>
        <w:gridCol w:w="5882"/>
        <w:gridCol w:w="1595"/>
        <w:gridCol w:w="1381"/>
        <w:gridCol w:w="829"/>
        <w:gridCol w:w="711"/>
        <w:gridCol w:w="1089"/>
        <w:gridCol w:w="505"/>
      </w:tblGrid>
      <w:tr w14:paraId="52E31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noWrap w:val="0"/>
            <w:vAlign w:val="center"/>
          </w:tcPr>
          <w:p w14:paraId="241629A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序号</w:t>
            </w:r>
          </w:p>
        </w:tc>
        <w:tc>
          <w:tcPr>
            <w:tcW w:w="1301" w:type="dxa"/>
            <w:shd w:val="clear" w:color="auto" w:fill="auto"/>
            <w:noWrap w:val="0"/>
            <w:vAlign w:val="center"/>
          </w:tcPr>
          <w:p w14:paraId="064AEAB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成果名称</w:t>
            </w:r>
          </w:p>
        </w:tc>
        <w:tc>
          <w:tcPr>
            <w:tcW w:w="5882" w:type="dxa"/>
            <w:shd w:val="clear" w:color="auto" w:fill="auto"/>
            <w:noWrap w:val="0"/>
            <w:vAlign w:val="center"/>
          </w:tcPr>
          <w:p w14:paraId="01B3C99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成果内容摘要</w:t>
            </w:r>
          </w:p>
        </w:tc>
        <w:tc>
          <w:tcPr>
            <w:tcW w:w="1595" w:type="dxa"/>
            <w:shd w:val="clear" w:color="auto" w:fill="auto"/>
            <w:noWrap w:val="0"/>
            <w:vAlign w:val="center"/>
          </w:tcPr>
          <w:p w14:paraId="558507A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成果完成人</w:t>
            </w:r>
          </w:p>
        </w:tc>
        <w:tc>
          <w:tcPr>
            <w:tcW w:w="1381" w:type="dxa"/>
            <w:shd w:val="clear" w:color="auto" w:fill="auto"/>
            <w:noWrap w:val="0"/>
            <w:vAlign w:val="center"/>
          </w:tcPr>
          <w:p w14:paraId="5789502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lang w:eastAsia="zh-CN"/>
              </w:rPr>
            </w:pPr>
            <w:r>
              <w:rPr>
                <w:rFonts w:hint="eastAsia" w:ascii="黑体" w:hAnsi="黑体" w:eastAsia="黑体" w:cs="黑体"/>
                <w:sz w:val="24"/>
                <w:lang w:eastAsia="zh-CN"/>
              </w:rPr>
              <w:t>赋权类型</w:t>
            </w:r>
          </w:p>
        </w:tc>
        <w:tc>
          <w:tcPr>
            <w:tcW w:w="829" w:type="dxa"/>
            <w:shd w:val="clear" w:color="auto" w:fill="auto"/>
            <w:noWrap w:val="0"/>
            <w:vAlign w:val="center"/>
          </w:tcPr>
          <w:p w14:paraId="1F3CA3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转化</w:t>
            </w:r>
          </w:p>
          <w:p w14:paraId="13D7BEE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方式</w:t>
            </w:r>
          </w:p>
        </w:tc>
        <w:tc>
          <w:tcPr>
            <w:tcW w:w="711" w:type="dxa"/>
            <w:shd w:val="clear" w:color="auto" w:fill="auto"/>
            <w:noWrap w:val="0"/>
            <w:vAlign w:val="center"/>
          </w:tcPr>
          <w:p w14:paraId="0510681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交易金额（万</w:t>
            </w:r>
            <w:r>
              <w:rPr>
                <w:rFonts w:hint="eastAsia" w:ascii="黑体" w:hAnsi="黑体" w:eastAsia="黑体" w:cs="黑体"/>
                <w:sz w:val="24"/>
                <w:lang w:val="en-US" w:eastAsia="zh-CN"/>
              </w:rPr>
              <w:t>元</w:t>
            </w:r>
            <w:r>
              <w:rPr>
                <w:rFonts w:hint="eastAsia" w:ascii="黑体" w:hAnsi="黑体" w:eastAsia="黑体" w:cs="黑体"/>
                <w:sz w:val="24"/>
              </w:rPr>
              <w:t>）</w:t>
            </w:r>
          </w:p>
        </w:tc>
        <w:tc>
          <w:tcPr>
            <w:tcW w:w="1089" w:type="dxa"/>
            <w:shd w:val="clear" w:color="auto" w:fill="auto"/>
            <w:noWrap w:val="0"/>
            <w:vAlign w:val="center"/>
          </w:tcPr>
          <w:p w14:paraId="077028A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受让方</w:t>
            </w:r>
          </w:p>
        </w:tc>
        <w:tc>
          <w:tcPr>
            <w:tcW w:w="505" w:type="dxa"/>
            <w:shd w:val="clear" w:color="auto" w:fill="auto"/>
            <w:noWrap w:val="0"/>
            <w:vAlign w:val="center"/>
          </w:tcPr>
          <w:p w14:paraId="69D4FD7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备注</w:t>
            </w:r>
          </w:p>
        </w:tc>
      </w:tr>
      <w:tr w14:paraId="65B36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F03CF4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301" w:type="dxa"/>
            <w:shd w:val="clear" w:color="auto" w:fill="auto"/>
            <w:noWrap w:val="0"/>
            <w:vAlign w:val="center"/>
          </w:tcPr>
          <w:p w14:paraId="787BCFD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基于不同光谱的多层半透明体系的光学性能模拟方法</w:t>
            </w:r>
          </w:p>
        </w:tc>
        <w:tc>
          <w:tcPr>
            <w:tcW w:w="5882" w:type="dxa"/>
            <w:shd w:val="clear" w:color="auto" w:fill="auto"/>
            <w:noWrap w:val="0"/>
            <w:vAlign w:val="center"/>
          </w:tcPr>
          <w:p w14:paraId="5F1F1ED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公开一种可以准确模型多层半透明体系太阳辐射透过率的方法，该方法考虑了不同层材料的光谱性能差异以及入射角变化的影响。根据各层材料的光谱物性参数（消光系数和折射指数），结合半透明体系的光学模型和太阳辐射光谱分布，可以准确模拟复杂结构下半透明体系的太阳辐射透过率。模型首先根据各层材料的光谱光学性能（透过率和反射率），建立模型反算单层材料的光谱消光系数和光谱折射指数，再结合半透明体系的光学模型和逐时太阳高度角，模拟多层结构下半透明体系的光学性能，最后结合太阳辐射光谱分布，计算得到多层结构半透明体系的太阳辐射透过率，并将实验结果用于模拟真实情况下半透明体系的光学性能，模拟结果和实验结果进行对比验证。为研究半透明门窗窗户的光学性能和传热性能计算和分析提供条件。</w:t>
            </w:r>
          </w:p>
        </w:tc>
        <w:tc>
          <w:tcPr>
            <w:tcW w:w="1595" w:type="dxa"/>
            <w:shd w:val="clear" w:color="auto" w:fill="auto"/>
            <w:noWrap w:val="0"/>
            <w:vAlign w:val="center"/>
          </w:tcPr>
          <w:p w14:paraId="1852A44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刘洋;</w:t>
            </w:r>
          </w:p>
          <w:p w14:paraId="16B1AD2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胡张保;严佳敏;遆曙光;王浩鹏;高柯</w:t>
            </w:r>
          </w:p>
        </w:tc>
        <w:tc>
          <w:tcPr>
            <w:tcW w:w="1381" w:type="dxa"/>
            <w:shd w:val="clear" w:color="auto" w:fill="auto"/>
            <w:noWrap w:val="0"/>
            <w:vAlign w:val="center"/>
          </w:tcPr>
          <w:p w14:paraId="1B25962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shd w:val="clear" w:color="auto" w:fill="auto"/>
            <w:noWrap w:val="0"/>
            <w:vAlign w:val="center"/>
          </w:tcPr>
          <w:p w14:paraId="65ED8E2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3B4C0CA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shd w:val="clear" w:color="auto" w:fill="auto"/>
            <w:noWrap w:val="0"/>
            <w:vAlign w:val="center"/>
          </w:tcPr>
          <w:p w14:paraId="550338B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w:t>
            </w:r>
          </w:p>
        </w:tc>
        <w:tc>
          <w:tcPr>
            <w:tcW w:w="1089" w:type="dxa"/>
            <w:shd w:val="clear" w:color="auto" w:fill="auto"/>
            <w:noWrap w:val="0"/>
            <w:vAlign w:val="center"/>
          </w:tcPr>
          <w:p w14:paraId="402350F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河南建艺工程设计咨询有限公司</w:t>
            </w:r>
          </w:p>
        </w:tc>
        <w:tc>
          <w:tcPr>
            <w:tcW w:w="505" w:type="dxa"/>
            <w:shd w:val="clear" w:color="auto" w:fill="auto"/>
            <w:noWrap w:val="0"/>
            <w:vAlign w:val="center"/>
          </w:tcPr>
          <w:p w14:paraId="366DE7A0">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54F3F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66039DB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301" w:type="dxa"/>
            <w:shd w:val="clear" w:color="auto" w:fill="auto"/>
            <w:noWrap w:val="0"/>
            <w:vAlign w:val="center"/>
          </w:tcPr>
          <w:p w14:paraId="21577AD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一种煤矿钻孔用定点封孔装置</w:t>
            </w:r>
          </w:p>
        </w:tc>
        <w:tc>
          <w:tcPr>
            <w:tcW w:w="5882" w:type="dxa"/>
            <w:shd w:val="clear" w:color="auto" w:fill="auto"/>
            <w:noWrap w:val="0"/>
            <w:vAlign w:val="center"/>
          </w:tcPr>
          <w:p w14:paraId="5BF5776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煤矿钻孔用定点封孔装置，涉及煤矿钻孔封堵技术领域，包括：固定轴；定位锁定装置，固定在固定轴上；调节组件，转动设置在固定轴的中部；驱动组件，转动设置在定位锁定装置的一端，与调节组件相连接；封孔装置，固定在定位锁定装置上，与调节组件转动连接；推送轴，与固定轴可控连接。本发明符合市场对煤层气高效、安全开发的需求，在能源开发领域具有良好的市场转化价值。</w:t>
            </w:r>
          </w:p>
        </w:tc>
        <w:tc>
          <w:tcPr>
            <w:tcW w:w="1595" w:type="dxa"/>
            <w:shd w:val="clear" w:color="auto" w:fill="auto"/>
            <w:noWrap w:val="0"/>
            <w:vAlign w:val="center"/>
          </w:tcPr>
          <w:p w14:paraId="3EA0DAF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娄振,魏晓鸽,吴则琪,宋怀涛,秦恒洁,付建华,姚浩伟,岳基伟,张嘉勇,崔啸,闫发志,李振,居萌萌,何晨阳,李有瀚,翟奕轩</w:t>
            </w:r>
          </w:p>
        </w:tc>
        <w:tc>
          <w:tcPr>
            <w:tcW w:w="1381" w:type="dxa"/>
            <w:shd w:val="clear" w:color="auto" w:fill="auto"/>
            <w:noWrap w:val="0"/>
            <w:vAlign w:val="center"/>
          </w:tcPr>
          <w:p w14:paraId="26A1A5C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shd w:val="clear" w:color="auto" w:fill="auto"/>
            <w:noWrap w:val="0"/>
            <w:vAlign w:val="center"/>
          </w:tcPr>
          <w:p w14:paraId="107F141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45CCCDA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shd w:val="clear" w:color="auto" w:fill="auto"/>
            <w:noWrap w:val="0"/>
            <w:vAlign w:val="center"/>
          </w:tcPr>
          <w:p w14:paraId="4F0F12F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3.3</w:t>
            </w:r>
          </w:p>
        </w:tc>
        <w:tc>
          <w:tcPr>
            <w:tcW w:w="1089" w:type="dxa"/>
            <w:shd w:val="clear" w:color="auto" w:fill="auto"/>
            <w:noWrap w:val="0"/>
            <w:vAlign w:val="center"/>
          </w:tcPr>
          <w:p w14:paraId="427E17A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河南庭源能源科技有限公司</w:t>
            </w:r>
          </w:p>
        </w:tc>
        <w:tc>
          <w:tcPr>
            <w:tcW w:w="505" w:type="dxa"/>
            <w:shd w:val="clear" w:color="auto" w:fill="auto"/>
            <w:noWrap w:val="0"/>
            <w:vAlign w:val="center"/>
          </w:tcPr>
          <w:p w14:paraId="1008C16B">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29AA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22F534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w:t>
            </w:r>
          </w:p>
        </w:tc>
        <w:tc>
          <w:tcPr>
            <w:tcW w:w="1301" w:type="dxa"/>
            <w:shd w:val="clear" w:color="auto" w:fill="auto"/>
            <w:noWrap w:val="0"/>
            <w:vAlign w:val="center"/>
          </w:tcPr>
          <w:p w14:paraId="7A80F97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一种高空坠楼损伤硬盘保护装置</w:t>
            </w:r>
          </w:p>
        </w:tc>
        <w:tc>
          <w:tcPr>
            <w:tcW w:w="5882" w:type="dxa"/>
            <w:shd w:val="clear" w:color="auto" w:fill="auto"/>
            <w:noWrap w:val="0"/>
            <w:vAlign w:val="center"/>
          </w:tcPr>
          <w:p w14:paraId="7DAFC84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插入式移动硬盘保护装置，通过在盒体上设置护盖，盒体内设置支撑装置、固定装置、伞包装置和重力装置，以此来达到有效保护硬盘不受损坏的目的。本发明结构简单、操作便捷，可有效防止硬盘在掉落后遭到损坏，提高了硬盘的使用寿命，降低了用户的经济损失和数据损失。</w:t>
            </w:r>
          </w:p>
        </w:tc>
        <w:tc>
          <w:tcPr>
            <w:tcW w:w="1595" w:type="dxa"/>
            <w:shd w:val="clear" w:color="auto" w:fill="auto"/>
            <w:noWrap w:val="0"/>
            <w:vAlign w:val="center"/>
          </w:tcPr>
          <w:p w14:paraId="2C15EF3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崔霄、胡春晖、张王卫、李保环、李天赐</w:t>
            </w:r>
          </w:p>
        </w:tc>
        <w:tc>
          <w:tcPr>
            <w:tcW w:w="1381" w:type="dxa"/>
            <w:shd w:val="clear" w:color="auto" w:fill="auto"/>
            <w:noWrap w:val="0"/>
            <w:vAlign w:val="center"/>
          </w:tcPr>
          <w:p w14:paraId="4D38443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3C8E8CC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67DCBF0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3.02</w:t>
            </w:r>
          </w:p>
        </w:tc>
        <w:tc>
          <w:tcPr>
            <w:tcW w:w="1089" w:type="dxa"/>
            <w:shd w:val="clear" w:color="auto" w:fill="auto"/>
            <w:noWrap w:val="0"/>
            <w:vAlign w:val="center"/>
          </w:tcPr>
          <w:p w14:paraId="031117B5">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河南宏夏信息科技有限公司</w:t>
            </w:r>
          </w:p>
        </w:tc>
        <w:tc>
          <w:tcPr>
            <w:tcW w:w="505" w:type="dxa"/>
            <w:shd w:val="clear" w:color="auto" w:fill="auto"/>
            <w:noWrap w:val="0"/>
            <w:vAlign w:val="center"/>
          </w:tcPr>
          <w:p w14:paraId="45A85006">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8"/>
                <w:szCs w:val="28"/>
                <w:lang w:val="en-US" w:eastAsia="zh-CN" w:bidi="ar-SA"/>
              </w:rPr>
            </w:pPr>
          </w:p>
        </w:tc>
      </w:tr>
      <w:tr w14:paraId="740DE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76B03EB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4</w:t>
            </w:r>
          </w:p>
        </w:tc>
        <w:tc>
          <w:tcPr>
            <w:tcW w:w="1301" w:type="dxa"/>
            <w:shd w:val="clear" w:color="auto" w:fill="auto"/>
            <w:noWrap w:val="0"/>
            <w:vAlign w:val="center"/>
          </w:tcPr>
          <w:p w14:paraId="0F2FAFC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软件开发规划展示板</w:t>
            </w:r>
          </w:p>
        </w:tc>
        <w:tc>
          <w:tcPr>
            <w:tcW w:w="5882" w:type="dxa"/>
            <w:shd w:val="clear" w:color="auto" w:fill="auto"/>
            <w:noWrap w:val="0"/>
            <w:vAlign w:val="center"/>
          </w:tcPr>
          <w:p w14:paraId="0A6444A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软件开发规划展示板，其包括安装壳,所述安装壳上下两端对称固定安装有四个安装板，四个所述安装板分别套装于四个展示板内，四个所述展示板靠近安装壳一端均开设有安装槽，且四个所述安装板分别位于四个安装槽内,位于安装壳同一侧的两个安装板相互靠近一端面均沿竖直方向上固定安装有齿条，所述齿条上啮合有齿轮,所述齿轮固定套装于安装螺杆上，所述安装螺杆后端穿过展示板，并延伸至展示板后侧,本实用新型展示效果好，便于安装拆卸,便于存放,实用性高。</w:t>
            </w:r>
          </w:p>
        </w:tc>
        <w:tc>
          <w:tcPr>
            <w:tcW w:w="1595" w:type="dxa"/>
            <w:shd w:val="clear" w:color="auto" w:fill="auto"/>
            <w:noWrap w:val="0"/>
            <w:vAlign w:val="center"/>
          </w:tcPr>
          <w:p w14:paraId="4AF0529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张王卫、申俊超、王赟</w:t>
            </w:r>
          </w:p>
        </w:tc>
        <w:tc>
          <w:tcPr>
            <w:tcW w:w="1381" w:type="dxa"/>
            <w:shd w:val="clear" w:color="auto" w:fill="auto"/>
            <w:noWrap w:val="0"/>
            <w:vAlign w:val="center"/>
          </w:tcPr>
          <w:p w14:paraId="551D0AF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6DA4AD7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4F39736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3.01</w:t>
            </w:r>
          </w:p>
        </w:tc>
        <w:tc>
          <w:tcPr>
            <w:tcW w:w="1089" w:type="dxa"/>
            <w:shd w:val="clear" w:color="auto" w:fill="auto"/>
            <w:noWrap w:val="0"/>
            <w:vAlign w:val="center"/>
          </w:tcPr>
          <w:p w14:paraId="6221D6F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河南宏夏信息科技有限公司</w:t>
            </w:r>
          </w:p>
        </w:tc>
        <w:tc>
          <w:tcPr>
            <w:tcW w:w="505" w:type="dxa"/>
            <w:shd w:val="clear" w:color="auto" w:fill="auto"/>
            <w:noWrap w:val="0"/>
            <w:vAlign w:val="center"/>
          </w:tcPr>
          <w:p w14:paraId="1531302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77F76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149421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w:t>
            </w:r>
          </w:p>
        </w:tc>
        <w:tc>
          <w:tcPr>
            <w:tcW w:w="1301" w:type="dxa"/>
            <w:shd w:val="clear" w:color="auto" w:fill="auto"/>
            <w:noWrap w:val="0"/>
            <w:vAlign w:val="center"/>
          </w:tcPr>
          <w:p w14:paraId="23F2354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zCs w:val="21"/>
              </w:rPr>
              <w:t>籽棉衣分率检测设备和籽棉衣分率检测方法</w:t>
            </w:r>
          </w:p>
        </w:tc>
        <w:tc>
          <w:tcPr>
            <w:tcW w:w="5882" w:type="dxa"/>
            <w:shd w:val="clear" w:color="auto" w:fill="auto"/>
            <w:noWrap w:val="0"/>
            <w:vAlign w:val="top"/>
          </w:tcPr>
          <w:p w14:paraId="775994E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成果提出了一种基于LED白光穿透成像技术和方法获得籽棉的透射图像，根据相应的图像出来算法识别出籽棉中棉籽个数，进而通过单个棉籽的统计均值，可以获得样棉中棉籽的重量并计算出籽棉衣分率。设备包括：称重模块，其上设置有玻璃样品台，用于盛放籽棉样品；LED白光平板灯，其发出白光照射在盛放于玻璃样品台上的籽棉上；彩色相机模块，用于对盛放于玻璃样品台上的籽棉进行成像；微型计算机，用于接收称重模块得到的籽棉的重量数据和彩色相机模块得到的图像数据，对图像数据进行处理，得到籽棉中的皮棉的重量值，进而得到籽棉的衣分率。根据本发明的籽棉衣分率检测方法具有自动化、快速、 无损、标准化等优势。</w:t>
            </w:r>
          </w:p>
        </w:tc>
        <w:tc>
          <w:tcPr>
            <w:tcW w:w="1595" w:type="dxa"/>
            <w:shd w:val="clear" w:color="auto" w:fill="auto"/>
            <w:noWrap w:val="0"/>
            <w:vAlign w:val="top"/>
          </w:tcPr>
          <w:p w14:paraId="29F6C87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耿利杰、周芳华、任宇芬、闫鹏吉、付强、梁俊铭、唐帅、张志峰、蒋逢春、苏玉玲</w:t>
            </w:r>
          </w:p>
        </w:tc>
        <w:tc>
          <w:tcPr>
            <w:tcW w:w="1381" w:type="dxa"/>
            <w:shd w:val="clear" w:color="auto" w:fill="auto"/>
            <w:noWrap w:val="0"/>
            <w:vAlign w:val="center"/>
          </w:tcPr>
          <w:p w14:paraId="641B6E8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vMerge w:val="restart"/>
            <w:shd w:val="clear" w:color="auto" w:fill="auto"/>
            <w:noWrap w:val="0"/>
            <w:vAlign w:val="center"/>
          </w:tcPr>
          <w:p w14:paraId="32A8CB71">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70DE88B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vMerge w:val="restart"/>
            <w:shd w:val="clear" w:color="auto" w:fill="auto"/>
            <w:noWrap w:val="0"/>
            <w:vAlign w:val="center"/>
          </w:tcPr>
          <w:p w14:paraId="74ED7B1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15.8</w:t>
            </w:r>
          </w:p>
        </w:tc>
        <w:tc>
          <w:tcPr>
            <w:tcW w:w="1089" w:type="dxa"/>
            <w:vMerge w:val="restart"/>
            <w:shd w:val="clear" w:color="auto" w:fill="auto"/>
            <w:noWrap w:val="0"/>
            <w:vAlign w:val="center"/>
          </w:tcPr>
          <w:p w14:paraId="0E2EB51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4"/>
              </w:rPr>
              <w:t>郑州纤峰科技有限公司</w:t>
            </w:r>
          </w:p>
        </w:tc>
        <w:tc>
          <w:tcPr>
            <w:tcW w:w="505" w:type="dxa"/>
            <w:shd w:val="clear" w:color="auto" w:fill="auto"/>
            <w:noWrap w:val="0"/>
            <w:vAlign w:val="center"/>
          </w:tcPr>
          <w:p w14:paraId="21F05B87">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05731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544" w:type="dxa"/>
            <w:shd w:val="clear" w:color="auto" w:fill="auto"/>
            <w:noWrap w:val="0"/>
            <w:vAlign w:val="center"/>
          </w:tcPr>
          <w:p w14:paraId="34A9172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6</w:t>
            </w:r>
          </w:p>
        </w:tc>
        <w:tc>
          <w:tcPr>
            <w:tcW w:w="1301" w:type="dxa"/>
            <w:shd w:val="clear" w:color="auto" w:fill="auto"/>
            <w:noWrap w:val="0"/>
            <w:vAlign w:val="center"/>
          </w:tcPr>
          <w:p w14:paraId="1BFAD02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zCs w:val="21"/>
              </w:rPr>
              <w:t>籽棉衣分率检测设备和籽棉衣分率检测方法</w:t>
            </w:r>
            <w:bookmarkStart w:id="0" w:name="_GoBack"/>
            <w:bookmarkEnd w:id="0"/>
          </w:p>
        </w:tc>
        <w:tc>
          <w:tcPr>
            <w:tcW w:w="5882" w:type="dxa"/>
            <w:shd w:val="clear" w:color="auto" w:fill="auto"/>
            <w:noWrap w:val="0"/>
            <w:vAlign w:val="top"/>
          </w:tcPr>
          <w:p w14:paraId="533ACED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成果提出一种基于红外激光穿透成像技术获得清晰的籽棉红外穿透图像，进而根据图像目标识别算法，识别并统计籽棉中棉籽的个数，进而计算出棉籽的总重量。称重模块获得样棉的重量，进而根据衣分率计算公式，自动获得籽棉衣分率值。设备包括：称重模块，其上设置有玻璃样品台，用于盛放籽棉样品；红外激光、准直镜组、红外面阵相机、分区放置的玻璃样品台、微型计算机等构成。石英玻璃样品台，呈正方形，用于盛放籽棉，且被分成面积相等的四部分，石英玻璃样品台能够绕中心旋转；红外激光是808nm半导体激光器，以及通过光纤与808nm半导体激光器相连的激光准直器，二者位于所述石英玻璃样品台正上方；凸透镜，位于石英玻璃样品台正下方；透镜将透射的红外光聚焦到红外相机上。根据本发明的籽棉衣分率检测方法具有自动化、快速、 无损、标准化等优势。</w:t>
            </w:r>
          </w:p>
        </w:tc>
        <w:tc>
          <w:tcPr>
            <w:tcW w:w="1595" w:type="dxa"/>
            <w:shd w:val="clear" w:color="auto" w:fill="auto"/>
            <w:noWrap w:val="0"/>
            <w:vAlign w:val="top"/>
          </w:tcPr>
          <w:p w14:paraId="70D0AF1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耿利杰、赵志明、杨鹏、闫鹏吉、李文秘、付强、李勃贤、翟玉生、杨坤、苏玉玲</w:t>
            </w:r>
          </w:p>
        </w:tc>
        <w:tc>
          <w:tcPr>
            <w:tcW w:w="1381" w:type="dxa"/>
            <w:shd w:val="clear" w:color="auto" w:fill="auto"/>
            <w:noWrap w:val="0"/>
            <w:vAlign w:val="center"/>
          </w:tcPr>
          <w:p w14:paraId="28E4043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vMerge w:val="continue"/>
            <w:shd w:val="clear" w:color="auto" w:fill="auto"/>
            <w:noWrap w:val="0"/>
            <w:vAlign w:val="center"/>
          </w:tcPr>
          <w:p w14:paraId="50DFE47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vMerge w:val="continue"/>
            <w:shd w:val="clear" w:color="auto" w:fill="auto"/>
            <w:noWrap w:val="0"/>
            <w:vAlign w:val="center"/>
          </w:tcPr>
          <w:p w14:paraId="0B401D4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1089" w:type="dxa"/>
            <w:vMerge w:val="continue"/>
            <w:shd w:val="clear" w:color="auto" w:fill="auto"/>
            <w:noWrap w:val="0"/>
            <w:vAlign w:val="center"/>
          </w:tcPr>
          <w:p w14:paraId="4ABA925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505" w:type="dxa"/>
            <w:shd w:val="clear" w:color="auto" w:fill="auto"/>
            <w:noWrap w:val="0"/>
            <w:vAlign w:val="center"/>
          </w:tcPr>
          <w:p w14:paraId="0E698D1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696BB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7AB7B3D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7</w:t>
            </w:r>
          </w:p>
        </w:tc>
        <w:tc>
          <w:tcPr>
            <w:tcW w:w="1301" w:type="dxa"/>
            <w:shd w:val="clear" w:color="auto" w:fill="auto"/>
            <w:noWrap w:val="0"/>
            <w:vAlign w:val="center"/>
          </w:tcPr>
          <w:p w14:paraId="7AEDC56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基于新的边框回归损失函数的遥感图像目标检测方法</w:t>
            </w:r>
          </w:p>
        </w:tc>
        <w:tc>
          <w:tcPr>
            <w:tcW w:w="5882" w:type="dxa"/>
            <w:shd w:val="clear" w:color="auto" w:fill="auto"/>
            <w:noWrap w:val="0"/>
            <w:vAlign w:val="center"/>
          </w:tcPr>
          <w:p w14:paraId="2ACB80C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基于新的边框回归损失函数的遥感图像目标检测方法，其步骤如下：以高分辨率遥感图像为训练样本训练候选区域生成网络，候选区域生成网络的边框回归损失函数采用新的损失函数；通过训练好的候选区域生成网络得到候选目标框作为目标初始位置训练区域检测网络，区域检测网络的边框回归损失函数采用新的边框回归损失函数；交替训练候选区域生成网络和区域检测网络；共享候选区域生成网络和区域检测网络的主干网络，合并训练后的候选区域生成网络和区域检测网络构建检测模型，获得待检测的高分辨率遥感图像感兴趣目标的位置和类别。本发明通过改进目标检测的边框回归损失函数，能够有效提升高分辨率遥感图像目标检测的精度。</w:t>
            </w:r>
          </w:p>
        </w:tc>
        <w:tc>
          <w:tcPr>
            <w:tcW w:w="1595" w:type="dxa"/>
            <w:shd w:val="clear" w:color="auto" w:fill="auto"/>
            <w:noWrap w:val="0"/>
            <w:vAlign w:val="center"/>
          </w:tcPr>
          <w:p w14:paraId="4811F59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钱晓亮，林生，王淑娟，邢培旭，曾黎，程塨，姚西文，岳伟超，任航丽，刘向龙，王芳，毋媛媛，吴青娥</w:t>
            </w:r>
          </w:p>
        </w:tc>
        <w:tc>
          <w:tcPr>
            <w:tcW w:w="1381" w:type="dxa"/>
            <w:shd w:val="clear" w:color="auto" w:fill="auto"/>
            <w:noWrap w:val="0"/>
            <w:vAlign w:val="center"/>
          </w:tcPr>
          <w:p w14:paraId="24A0F7C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2862CEA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2FF03AE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1089" w:type="dxa"/>
            <w:shd w:val="clear" w:color="auto" w:fill="auto"/>
            <w:noWrap w:val="0"/>
            <w:vAlign w:val="center"/>
          </w:tcPr>
          <w:p w14:paraId="1FBA986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505" w:type="dxa"/>
            <w:shd w:val="clear" w:color="auto" w:fill="auto"/>
            <w:noWrap w:val="0"/>
            <w:vAlign w:val="center"/>
          </w:tcPr>
          <w:p w14:paraId="20FA95FF">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387BA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9B2D58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8</w:t>
            </w:r>
          </w:p>
        </w:tc>
        <w:tc>
          <w:tcPr>
            <w:tcW w:w="1301" w:type="dxa"/>
            <w:shd w:val="clear" w:color="auto" w:fill="auto"/>
            <w:noWrap w:val="0"/>
            <w:vAlign w:val="center"/>
          </w:tcPr>
          <w:p w14:paraId="2B96D29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基于协同显著性生成式对抗网络的协同显著性检测方法</w:t>
            </w:r>
          </w:p>
        </w:tc>
        <w:tc>
          <w:tcPr>
            <w:tcW w:w="5882" w:type="dxa"/>
            <w:shd w:val="clear" w:color="auto" w:fill="auto"/>
            <w:noWrap w:val="0"/>
            <w:vAlign w:val="center"/>
          </w:tcPr>
          <w:p w14:paraId="30D9D1B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基于协同显著性生成式对抗网络的协同显著性检测方法，步骤如下：构建协同显著性生成式对抗网络模型；对协同显著性生成式对抗网络模型进行两阶段训练：在第一训练阶段，采用带标签的显著目标数据库对协同显著性生成式对抗网络进行预训练，本阶段训练后，协同显著性生成式对抗网络具备对单幅图像进行显著性检测的能力；在第二训练阶段，基于第一阶段训练好的模型参数，采用协同显著目标属于同一类别的带标签协同显著性数据组对协同显著性生成式对抗网络进行训练，本阶段训练后，可直接使用训练好的模型进行类别协同显著性检测。本发明训练过程简单、检测效率高，通用性较强，准确率较高。</w:t>
            </w:r>
          </w:p>
        </w:tc>
        <w:tc>
          <w:tcPr>
            <w:tcW w:w="1595" w:type="dxa"/>
            <w:shd w:val="clear" w:color="auto" w:fill="auto"/>
            <w:noWrap w:val="0"/>
            <w:vAlign w:val="center"/>
          </w:tcPr>
          <w:p w14:paraId="20B1A63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钱晓亮，白臻，任航丽，曾黎，邢培旭，程塨，姚西文，刘向龙，岳伟超，王芳，刘玉翠，赵素娜，王慰，毋媛媛，吴青娥</w:t>
            </w:r>
          </w:p>
        </w:tc>
        <w:tc>
          <w:tcPr>
            <w:tcW w:w="1381" w:type="dxa"/>
            <w:shd w:val="clear" w:color="auto" w:fill="auto"/>
            <w:noWrap w:val="0"/>
            <w:vAlign w:val="center"/>
          </w:tcPr>
          <w:p w14:paraId="722A9CE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2705C36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60C0D9A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1089" w:type="dxa"/>
            <w:shd w:val="clear" w:color="auto" w:fill="auto"/>
            <w:noWrap w:val="0"/>
            <w:vAlign w:val="center"/>
          </w:tcPr>
          <w:p w14:paraId="230B6BF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505" w:type="dxa"/>
            <w:shd w:val="clear" w:color="auto" w:fill="auto"/>
            <w:noWrap w:val="0"/>
            <w:vAlign w:val="center"/>
          </w:tcPr>
          <w:p w14:paraId="20B7DC01">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06C82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60A0AFB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065D30D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6D2ED74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2FEB14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5B63DFC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02152F8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9</w:t>
            </w:r>
          </w:p>
        </w:tc>
        <w:tc>
          <w:tcPr>
            <w:tcW w:w="0" w:type="auto"/>
            <w:shd w:val="clear" w:color="auto" w:fill="auto"/>
            <w:vAlign w:val="center"/>
          </w:tcPr>
          <w:p w14:paraId="6F717CF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融合短时和长时深度特征的太阳能电池片缺陷检测方法</w:t>
            </w:r>
          </w:p>
        </w:tc>
        <w:tc>
          <w:tcPr>
            <w:tcW w:w="5882" w:type="dxa"/>
            <w:shd w:val="clear" w:color="auto" w:fill="auto"/>
            <w:vAlign w:val="center"/>
          </w:tcPr>
          <w:p w14:paraId="6613131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融合短时和长时深度特征的太阳能电池片缺陷检测方法，其步骤为：预处理；短时深度特征提取：将预处理后的图像进行分块并向量化后送入堆叠式降噪自动编码器中进行训练，获取到由所有图像块自身学习出的二维自适应深度特征矩阵，同时将二维自适应深度特征矩阵转换为三维矩阵，得到由当前图像观测信息组成的短时深度特征；长时深度特征提取；短时深度特征和长时深度特征融合与转换；低秩矩阵分解与后处理，得到最终检测结果。本发明使用融合当前图像观测信息和先验知识的深度特征来表征太阳能电池片的缺陷，能够显著提高太阳能电池片缺陷检测的通用性和准确性，运算量小、检测效率高，且定位精度较高。</w:t>
            </w:r>
          </w:p>
        </w:tc>
        <w:tc>
          <w:tcPr>
            <w:tcW w:w="1595" w:type="dxa"/>
            <w:shd w:val="clear" w:color="auto" w:fill="auto"/>
            <w:vAlign w:val="center"/>
          </w:tcPr>
          <w:p w14:paraId="4A397E9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钱晓亮，栗靖，田二林，曾黎，王慰，王延峰，杨存祥，过金超，史坤峰，毋媛媛，王芳</w:t>
            </w:r>
          </w:p>
        </w:tc>
        <w:tc>
          <w:tcPr>
            <w:tcW w:w="0" w:type="auto"/>
            <w:shd w:val="clear" w:color="auto" w:fill="auto"/>
            <w:vAlign w:val="center"/>
          </w:tcPr>
          <w:p w14:paraId="451EE38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0" w:type="auto"/>
            <w:shd w:val="clear" w:color="auto" w:fill="auto"/>
            <w:vAlign w:val="center"/>
          </w:tcPr>
          <w:p w14:paraId="7B8C22B1">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0" w:type="auto"/>
            <w:shd w:val="clear" w:color="auto" w:fill="auto"/>
            <w:vAlign w:val="center"/>
          </w:tcPr>
          <w:p w14:paraId="2E7D052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0" w:type="auto"/>
            <w:shd w:val="clear" w:color="auto" w:fill="auto"/>
            <w:vAlign w:val="center"/>
          </w:tcPr>
          <w:p w14:paraId="0CB2D74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0" w:type="auto"/>
          </w:tcPr>
          <w:p w14:paraId="7FE3B42D">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bl>
    <w:p w14:paraId="45E24976">
      <w:pPr>
        <w:keepNext w:val="0"/>
        <w:keepLines w:val="0"/>
        <w:pageBreakBefore w:val="0"/>
        <w:widowControl w:val="0"/>
        <w:kinsoku/>
        <w:wordWrap/>
        <w:overflowPunct/>
        <w:topLinePunct w:val="0"/>
        <w:autoSpaceDE/>
        <w:autoSpaceDN/>
        <w:bidi w:val="0"/>
        <w:adjustRightInd/>
        <w:spacing w:line="640" w:lineRule="exact"/>
        <w:textAlignment w:val="auto"/>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F2B62DD"/>
    <w:rsid w:val="102201D3"/>
    <w:rsid w:val="1308507D"/>
    <w:rsid w:val="1A0C09AF"/>
    <w:rsid w:val="23B86870"/>
    <w:rsid w:val="3FEB3FAE"/>
    <w:rsid w:val="415E2C8C"/>
    <w:rsid w:val="50D852D8"/>
    <w:rsid w:val="52EE628E"/>
    <w:rsid w:val="58406388"/>
    <w:rsid w:val="6A805212"/>
    <w:rsid w:val="7870237F"/>
    <w:rsid w:val="7D0550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3108</Words>
  <Characters>3165</Characters>
  <Lines>0</Lines>
  <Paragraphs>0</Paragraphs>
  <TotalTime>0</TotalTime>
  <ScaleCrop>false</ScaleCrop>
  <LinksUpToDate>false</LinksUpToDate>
  <CharactersWithSpaces>3237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2025-11-07T03:20:54Z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