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1C1071">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郑州轻工业大学</w:t>
      </w:r>
      <w:r>
        <w:rPr>
          <w:rFonts w:hint="eastAsia" w:ascii="方正小标宋简体" w:hAnsi="方正小标宋简体" w:eastAsia="方正小标宋简体" w:cs="方正小标宋简体"/>
          <w:sz w:val="44"/>
          <w:szCs w:val="44"/>
          <w:lang w:eastAsia="zh-CN"/>
        </w:rPr>
        <w:t>科研成果赋权情况表</w:t>
      </w:r>
    </w:p>
    <w:p w14:paraId="11412D84">
      <w:pPr>
        <w:spacing w:before="156" w:beforeLines="50"/>
        <w:jc w:val="center"/>
        <w:rPr>
          <w:rFonts w:ascii="仿宋" w:hAnsi="仿宋" w:eastAsia="仿宋" w:cs="仿宋"/>
          <w:sz w:val="28"/>
          <w:szCs w:val="28"/>
        </w:rPr>
      </w:pPr>
      <w:r>
        <w:rPr>
          <w:rFonts w:hint="eastAsia" w:ascii="仿宋" w:hAnsi="仿宋" w:eastAsia="仿宋" w:cs="仿宋"/>
          <w:sz w:val="28"/>
          <w:szCs w:val="28"/>
        </w:rPr>
        <w:t xml:space="preserve">                                                                      时间：202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r>
        <w:rPr>
          <w:rFonts w:hint="eastAsia" w:ascii="仿宋" w:hAnsi="仿宋" w:eastAsia="仿宋" w:cs="仿宋"/>
          <w:sz w:val="28"/>
          <w:szCs w:val="28"/>
          <w:lang w:val="en-US" w:eastAsia="zh-CN"/>
        </w:rPr>
        <w:t>16</w:t>
      </w:r>
      <w:r>
        <w:rPr>
          <w:rFonts w:hint="eastAsia" w:ascii="仿宋" w:hAnsi="仿宋" w:eastAsia="仿宋" w:cs="仿宋"/>
          <w:sz w:val="28"/>
          <w:szCs w:val="28"/>
        </w:rPr>
        <w:t>日</w:t>
      </w:r>
    </w:p>
    <w:tbl>
      <w:tblPr>
        <w:tblStyle w:val="2"/>
        <w:tblpPr w:leftFromText="180" w:rightFromText="180" w:vertAnchor="text" w:horzAnchor="page" w:tblpX="1551" w:tblpY="435"/>
        <w:tblOverlap w:val="never"/>
        <w:tblW w:w="138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4"/>
        <w:gridCol w:w="2151"/>
        <w:gridCol w:w="3446"/>
        <w:gridCol w:w="1687"/>
        <w:gridCol w:w="1360"/>
        <w:gridCol w:w="1207"/>
        <w:gridCol w:w="1371"/>
        <w:gridCol w:w="1285"/>
        <w:gridCol w:w="786"/>
      </w:tblGrid>
      <w:tr w14:paraId="3E5D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544" w:type="dxa"/>
            <w:shd w:val="clear" w:color="auto" w:fill="auto"/>
            <w:noWrap w:val="0"/>
            <w:vAlign w:val="center"/>
          </w:tcPr>
          <w:p w14:paraId="1A55623A">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黑体" w:hAnsi="黑体" w:eastAsia="黑体" w:cs="黑体"/>
                <w:sz w:val="24"/>
              </w:rPr>
            </w:pPr>
            <w:r>
              <w:rPr>
                <w:rFonts w:hint="eastAsia" w:ascii="黑体" w:hAnsi="黑体" w:eastAsia="黑体" w:cs="黑体"/>
                <w:sz w:val="24"/>
              </w:rPr>
              <w:t>序号</w:t>
            </w:r>
          </w:p>
        </w:tc>
        <w:tc>
          <w:tcPr>
            <w:tcW w:w="2151" w:type="dxa"/>
            <w:shd w:val="clear" w:color="auto" w:fill="auto"/>
            <w:noWrap w:val="0"/>
            <w:vAlign w:val="center"/>
          </w:tcPr>
          <w:p w14:paraId="53872C4F">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黑体" w:hAnsi="黑体" w:eastAsia="黑体" w:cs="黑体"/>
                <w:sz w:val="24"/>
              </w:rPr>
            </w:pPr>
            <w:r>
              <w:rPr>
                <w:rFonts w:hint="eastAsia" w:ascii="黑体" w:hAnsi="黑体" w:eastAsia="黑体" w:cs="黑体"/>
                <w:sz w:val="24"/>
              </w:rPr>
              <w:t>成果名称</w:t>
            </w:r>
          </w:p>
        </w:tc>
        <w:tc>
          <w:tcPr>
            <w:tcW w:w="3446" w:type="dxa"/>
            <w:shd w:val="clear" w:color="auto" w:fill="auto"/>
            <w:noWrap w:val="0"/>
            <w:vAlign w:val="center"/>
          </w:tcPr>
          <w:p w14:paraId="03D93FD1">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黑体" w:hAnsi="黑体" w:eastAsia="黑体" w:cs="黑体"/>
                <w:sz w:val="24"/>
              </w:rPr>
            </w:pPr>
            <w:r>
              <w:rPr>
                <w:rFonts w:hint="eastAsia" w:ascii="黑体" w:hAnsi="黑体" w:eastAsia="黑体" w:cs="黑体"/>
                <w:sz w:val="24"/>
              </w:rPr>
              <w:t>成果内容摘要</w:t>
            </w:r>
          </w:p>
        </w:tc>
        <w:tc>
          <w:tcPr>
            <w:tcW w:w="1687" w:type="dxa"/>
            <w:shd w:val="clear" w:color="auto" w:fill="auto"/>
            <w:noWrap w:val="0"/>
            <w:vAlign w:val="center"/>
          </w:tcPr>
          <w:p w14:paraId="5A06393C">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黑体" w:hAnsi="黑体" w:eastAsia="黑体" w:cs="黑体"/>
                <w:sz w:val="24"/>
              </w:rPr>
            </w:pPr>
            <w:r>
              <w:rPr>
                <w:rFonts w:hint="eastAsia" w:ascii="黑体" w:hAnsi="黑体" w:eastAsia="黑体" w:cs="黑体"/>
                <w:sz w:val="24"/>
              </w:rPr>
              <w:t>成果完成人</w:t>
            </w:r>
          </w:p>
        </w:tc>
        <w:tc>
          <w:tcPr>
            <w:tcW w:w="1360" w:type="dxa"/>
            <w:shd w:val="clear" w:color="auto" w:fill="auto"/>
            <w:noWrap w:val="0"/>
            <w:vAlign w:val="center"/>
          </w:tcPr>
          <w:p w14:paraId="05A9C4CE">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黑体" w:hAnsi="黑体" w:eastAsia="黑体" w:cs="黑体"/>
                <w:sz w:val="24"/>
                <w:lang w:eastAsia="zh-CN"/>
              </w:rPr>
            </w:pPr>
            <w:r>
              <w:rPr>
                <w:rFonts w:hint="eastAsia" w:ascii="黑体" w:hAnsi="黑体" w:eastAsia="黑体" w:cs="黑体"/>
                <w:sz w:val="24"/>
                <w:lang w:eastAsia="zh-CN"/>
              </w:rPr>
              <w:t>赋权类型</w:t>
            </w:r>
          </w:p>
        </w:tc>
        <w:tc>
          <w:tcPr>
            <w:tcW w:w="1207" w:type="dxa"/>
            <w:shd w:val="clear" w:color="auto" w:fill="auto"/>
            <w:noWrap w:val="0"/>
            <w:vAlign w:val="center"/>
          </w:tcPr>
          <w:p w14:paraId="0B162375">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黑体" w:hAnsi="黑体" w:eastAsia="黑体" w:cs="黑体"/>
                <w:sz w:val="24"/>
              </w:rPr>
            </w:pPr>
            <w:r>
              <w:rPr>
                <w:rFonts w:hint="eastAsia" w:ascii="黑体" w:hAnsi="黑体" w:eastAsia="黑体" w:cs="黑体"/>
                <w:sz w:val="24"/>
              </w:rPr>
              <w:t>转化</w:t>
            </w:r>
          </w:p>
          <w:p w14:paraId="288CADAE">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黑体" w:hAnsi="黑体" w:eastAsia="黑体" w:cs="黑体"/>
                <w:sz w:val="24"/>
              </w:rPr>
            </w:pPr>
            <w:r>
              <w:rPr>
                <w:rFonts w:hint="eastAsia" w:ascii="黑体" w:hAnsi="黑体" w:eastAsia="黑体" w:cs="黑体"/>
                <w:sz w:val="24"/>
              </w:rPr>
              <w:t>方式</w:t>
            </w:r>
          </w:p>
        </w:tc>
        <w:tc>
          <w:tcPr>
            <w:tcW w:w="1371" w:type="dxa"/>
            <w:shd w:val="clear" w:color="auto" w:fill="auto"/>
            <w:noWrap w:val="0"/>
            <w:vAlign w:val="center"/>
          </w:tcPr>
          <w:p w14:paraId="16B0214E">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黑体" w:hAnsi="黑体" w:eastAsia="黑体" w:cs="黑体"/>
                <w:sz w:val="24"/>
              </w:rPr>
            </w:pPr>
            <w:r>
              <w:rPr>
                <w:rFonts w:hint="eastAsia" w:ascii="黑体" w:hAnsi="黑体" w:eastAsia="黑体" w:cs="黑体"/>
                <w:sz w:val="24"/>
              </w:rPr>
              <w:t>交易金额（万</w:t>
            </w:r>
            <w:r>
              <w:rPr>
                <w:rFonts w:hint="eastAsia" w:ascii="黑体" w:hAnsi="黑体" w:eastAsia="黑体" w:cs="黑体"/>
                <w:sz w:val="24"/>
                <w:lang w:val="en-US" w:eastAsia="zh-CN"/>
              </w:rPr>
              <w:t>元</w:t>
            </w:r>
            <w:r>
              <w:rPr>
                <w:rFonts w:hint="eastAsia" w:ascii="黑体" w:hAnsi="黑体" w:eastAsia="黑体" w:cs="黑体"/>
                <w:sz w:val="24"/>
              </w:rPr>
              <w:t>）</w:t>
            </w:r>
          </w:p>
        </w:tc>
        <w:tc>
          <w:tcPr>
            <w:tcW w:w="1285" w:type="dxa"/>
            <w:shd w:val="clear" w:color="auto" w:fill="auto"/>
            <w:noWrap w:val="0"/>
            <w:vAlign w:val="center"/>
          </w:tcPr>
          <w:p w14:paraId="5C8420B1">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黑体" w:hAnsi="黑体" w:eastAsia="黑体" w:cs="黑体"/>
                <w:sz w:val="24"/>
              </w:rPr>
            </w:pPr>
            <w:r>
              <w:rPr>
                <w:rFonts w:hint="eastAsia" w:ascii="黑体" w:hAnsi="黑体" w:eastAsia="黑体" w:cs="黑体"/>
                <w:sz w:val="24"/>
              </w:rPr>
              <w:t>受让方</w:t>
            </w:r>
          </w:p>
        </w:tc>
        <w:tc>
          <w:tcPr>
            <w:tcW w:w="786" w:type="dxa"/>
            <w:shd w:val="clear" w:color="auto" w:fill="auto"/>
            <w:noWrap w:val="0"/>
            <w:vAlign w:val="center"/>
          </w:tcPr>
          <w:p w14:paraId="3135ABA6">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黑体" w:hAnsi="黑体" w:eastAsia="黑体" w:cs="黑体"/>
                <w:sz w:val="24"/>
              </w:rPr>
            </w:pPr>
            <w:r>
              <w:rPr>
                <w:rFonts w:hint="eastAsia" w:ascii="黑体" w:hAnsi="黑体" w:eastAsia="黑体" w:cs="黑体"/>
                <w:sz w:val="24"/>
              </w:rPr>
              <w:t>备注</w:t>
            </w:r>
          </w:p>
        </w:tc>
      </w:tr>
      <w:tr w14:paraId="4972E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noWrap w:val="0"/>
            <w:vAlign w:val="center"/>
          </w:tcPr>
          <w:p w14:paraId="549CAB86">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黑体" w:hAnsi="黑体" w:eastAsia="黑体" w:cs="黑体"/>
                <w:sz w:val="24"/>
                <w:lang w:val="en-US" w:eastAsia="zh-CN"/>
              </w:rPr>
            </w:pPr>
            <w:r>
              <w:rPr>
                <w:rFonts w:hint="eastAsia" w:ascii="黑体" w:hAnsi="黑体" w:eastAsia="黑体" w:cs="黑体"/>
                <w:sz w:val="24"/>
                <w:lang w:val="en-US" w:eastAsia="zh-CN"/>
              </w:rPr>
              <w:t>1</w:t>
            </w:r>
          </w:p>
        </w:tc>
        <w:tc>
          <w:tcPr>
            <w:tcW w:w="2151" w:type="dxa"/>
            <w:shd w:val="clear" w:color="auto" w:fill="auto"/>
            <w:noWrap w:val="0"/>
            <w:vAlign w:val="center"/>
          </w:tcPr>
          <w:p w14:paraId="45AD79ED">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基于密集连接网络的全色图像与多光谱图像融合的方法</w:t>
            </w:r>
          </w:p>
        </w:tc>
        <w:tc>
          <w:tcPr>
            <w:tcW w:w="3446" w:type="dxa"/>
            <w:shd w:val="clear" w:color="auto" w:fill="auto"/>
            <w:noWrap w:val="0"/>
            <w:vAlign w:val="center"/>
          </w:tcPr>
          <w:p w14:paraId="412A4CEB">
            <w:pPr>
              <w:keepNext w:val="0"/>
              <w:keepLines w:val="0"/>
              <w:pageBreakBefore w:val="0"/>
              <w:widowControl w:val="0"/>
              <w:kinsoku/>
              <w:wordWrap/>
              <w:overflowPunct/>
              <w:topLinePunct w:val="0"/>
              <w:autoSpaceDE/>
              <w:autoSpaceDN/>
              <w:bidi w:val="0"/>
              <w:adjustRightInd/>
              <w:spacing w:before="78"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公开了一种基于密集连接网络的全色图像与多光谱图像融合的方法，用以解决现有全色图像与多光谱图像融合方法中深浅层特征利用不充分、空间细节与光谱信息难以兼顾、融合图像易出现光谱失真或细节模糊等技术问题。</w:t>
            </w:r>
          </w:p>
        </w:tc>
        <w:tc>
          <w:tcPr>
            <w:tcW w:w="1687" w:type="dxa"/>
            <w:shd w:val="clear" w:color="auto" w:fill="auto"/>
            <w:noWrap w:val="0"/>
            <w:vAlign w:val="center"/>
          </w:tcPr>
          <w:p w14:paraId="14ACB271">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黄伟;冯晶晶;王华;黄遥</w:t>
            </w:r>
          </w:p>
        </w:tc>
        <w:tc>
          <w:tcPr>
            <w:tcW w:w="1360" w:type="dxa"/>
            <w:shd w:val="clear" w:color="auto" w:fill="auto"/>
            <w:noWrap w:val="0"/>
            <w:vAlign w:val="center"/>
          </w:tcPr>
          <w:p w14:paraId="0CF7CFA5">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default"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长期使用权（10年）</w:t>
            </w:r>
          </w:p>
        </w:tc>
        <w:tc>
          <w:tcPr>
            <w:tcW w:w="1207" w:type="dxa"/>
            <w:shd w:val="clear" w:color="auto" w:fill="auto"/>
            <w:noWrap w:val="0"/>
            <w:vAlign w:val="center"/>
          </w:tcPr>
          <w:p w14:paraId="1DDB7A3D">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技术许可</w:t>
            </w:r>
          </w:p>
          <w:p w14:paraId="239E7DF0">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kern w:val="2"/>
                <w:sz w:val="24"/>
                <w:szCs w:val="24"/>
                <w:lang w:val="en-US" w:eastAsia="zh-CN" w:bidi="ar-SA"/>
              </w:rPr>
            </w:pPr>
          </w:p>
        </w:tc>
        <w:tc>
          <w:tcPr>
            <w:tcW w:w="1371" w:type="dxa"/>
            <w:shd w:val="clear" w:color="auto" w:fill="auto"/>
            <w:noWrap w:val="0"/>
            <w:vAlign w:val="center"/>
          </w:tcPr>
          <w:p w14:paraId="2BCAD44A">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7.4</w:t>
            </w:r>
          </w:p>
        </w:tc>
        <w:tc>
          <w:tcPr>
            <w:tcW w:w="1285" w:type="dxa"/>
            <w:shd w:val="clear" w:color="auto" w:fill="auto"/>
            <w:noWrap w:val="0"/>
            <w:vAlign w:val="center"/>
          </w:tcPr>
          <w:p w14:paraId="259C3DC2">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napToGrid w:val="0"/>
                <w:color w:val="000000"/>
                <w:spacing w:val="-3"/>
                <w:kern w:val="0"/>
                <w:sz w:val="24"/>
                <w:szCs w:val="24"/>
                <w:lang w:val="en-US" w:eastAsia="zh-CN" w:bidi="ar-SA"/>
              </w:rPr>
            </w:pPr>
            <w:r>
              <w:rPr>
                <w:rFonts w:hint="eastAsia" w:ascii="仿宋" w:hAnsi="仿宋" w:eastAsia="仿宋" w:cs="仿宋"/>
                <w:snapToGrid w:val="0"/>
                <w:color w:val="000000"/>
                <w:spacing w:val="-3"/>
                <w:kern w:val="0"/>
                <w:sz w:val="24"/>
                <w:szCs w:val="24"/>
                <w:lang w:val="en-US" w:eastAsia="zh-CN" w:bidi="ar-SA"/>
              </w:rPr>
              <w:t>河南诚源霖海智能科技有限公司</w:t>
            </w:r>
          </w:p>
        </w:tc>
        <w:tc>
          <w:tcPr>
            <w:tcW w:w="786" w:type="dxa"/>
            <w:shd w:val="clear" w:color="auto" w:fill="auto"/>
            <w:noWrap w:val="0"/>
            <w:vAlign w:val="center"/>
          </w:tcPr>
          <w:p w14:paraId="63D1775D">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kern w:val="2"/>
                <w:sz w:val="28"/>
                <w:szCs w:val="28"/>
                <w:lang w:val="en-US" w:eastAsia="zh-CN" w:bidi="ar-SA"/>
              </w:rPr>
            </w:pPr>
          </w:p>
        </w:tc>
      </w:tr>
      <w:tr w14:paraId="7CD80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noWrap w:val="0"/>
            <w:vAlign w:val="center"/>
          </w:tcPr>
          <w:p w14:paraId="79C0A6B5">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default" w:ascii="黑体" w:hAnsi="黑体" w:eastAsia="黑体" w:cs="黑体"/>
                <w:sz w:val="24"/>
                <w:lang w:val="en-US" w:eastAsia="zh-CN"/>
              </w:rPr>
            </w:pPr>
            <w:r>
              <w:rPr>
                <w:rFonts w:hint="eastAsia" w:ascii="黑体" w:hAnsi="黑体" w:eastAsia="黑体" w:cs="黑体"/>
                <w:sz w:val="24"/>
                <w:lang w:val="en-US" w:eastAsia="zh-CN"/>
              </w:rPr>
              <w:t>2</w:t>
            </w:r>
          </w:p>
        </w:tc>
        <w:tc>
          <w:tcPr>
            <w:tcW w:w="2151" w:type="dxa"/>
            <w:shd w:val="clear" w:color="auto" w:fill="auto"/>
            <w:noWrap w:val="0"/>
            <w:vAlign w:val="center"/>
          </w:tcPr>
          <w:p w14:paraId="5EDFF4E7">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基于大核注意力机制的多尺度特征增强的遥感图像融合方法</w:t>
            </w:r>
          </w:p>
        </w:tc>
        <w:tc>
          <w:tcPr>
            <w:tcW w:w="3446" w:type="dxa"/>
            <w:shd w:val="clear" w:color="auto" w:fill="auto"/>
            <w:noWrap w:val="0"/>
            <w:vAlign w:val="center"/>
          </w:tcPr>
          <w:p w14:paraId="541E9C10">
            <w:pPr>
              <w:keepNext w:val="0"/>
              <w:keepLines w:val="0"/>
              <w:pageBreakBefore w:val="0"/>
              <w:widowControl w:val="0"/>
              <w:kinsoku/>
              <w:wordWrap/>
              <w:overflowPunct/>
              <w:topLinePunct w:val="0"/>
              <w:autoSpaceDE/>
              <w:autoSpaceDN/>
              <w:bidi w:val="0"/>
              <w:adjustRightInd/>
              <w:spacing w:before="78"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公开了一种基于大核注意力机制的多尺度特征增强的遥感图像融合方法，用以解决现有遥感图像融合方法在感受野有限、多尺度特征表达不足、全局上下文信息捕获不充分以及冗余特征干扰融合效果等技术问题。</w:t>
            </w:r>
          </w:p>
        </w:tc>
        <w:tc>
          <w:tcPr>
            <w:tcW w:w="1687" w:type="dxa"/>
            <w:shd w:val="clear" w:color="auto" w:fill="auto"/>
            <w:noWrap w:val="0"/>
            <w:vAlign w:val="center"/>
          </w:tcPr>
          <w:p w14:paraId="60186ACA">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default"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黄伟</w:t>
            </w:r>
          </w:p>
        </w:tc>
        <w:tc>
          <w:tcPr>
            <w:tcW w:w="1360" w:type="dxa"/>
            <w:shd w:val="clear" w:color="auto" w:fill="auto"/>
            <w:noWrap w:val="0"/>
            <w:vAlign w:val="center"/>
          </w:tcPr>
          <w:p w14:paraId="59FAD183">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长期使用权（10年）</w:t>
            </w:r>
          </w:p>
        </w:tc>
        <w:tc>
          <w:tcPr>
            <w:tcW w:w="1207" w:type="dxa"/>
            <w:shd w:val="clear" w:color="auto" w:fill="auto"/>
            <w:noWrap w:val="0"/>
            <w:vAlign w:val="center"/>
          </w:tcPr>
          <w:p w14:paraId="278841D1">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技术许可</w:t>
            </w:r>
          </w:p>
          <w:p w14:paraId="64327503">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z w:val="24"/>
                <w:lang w:eastAsia="zh-CN"/>
              </w:rPr>
            </w:pPr>
          </w:p>
        </w:tc>
        <w:tc>
          <w:tcPr>
            <w:tcW w:w="1371" w:type="dxa"/>
            <w:shd w:val="clear" w:color="auto" w:fill="auto"/>
            <w:noWrap w:val="0"/>
            <w:vAlign w:val="center"/>
          </w:tcPr>
          <w:p w14:paraId="50773FA6">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7.4</w:t>
            </w:r>
          </w:p>
        </w:tc>
        <w:tc>
          <w:tcPr>
            <w:tcW w:w="1285" w:type="dxa"/>
            <w:shd w:val="clear" w:color="auto" w:fill="auto"/>
            <w:noWrap w:val="0"/>
            <w:vAlign w:val="center"/>
          </w:tcPr>
          <w:p w14:paraId="36307FD0">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napToGrid w:val="0"/>
                <w:color w:val="000000"/>
                <w:spacing w:val="-3"/>
                <w:kern w:val="0"/>
                <w:sz w:val="24"/>
                <w:szCs w:val="24"/>
                <w:lang w:val="en-US" w:eastAsia="zh-CN" w:bidi="ar-SA"/>
              </w:rPr>
            </w:pPr>
            <w:r>
              <w:rPr>
                <w:rFonts w:hint="eastAsia" w:ascii="仿宋" w:hAnsi="仿宋" w:eastAsia="仿宋" w:cs="仿宋"/>
                <w:snapToGrid w:val="0"/>
                <w:color w:val="000000"/>
                <w:spacing w:val="-3"/>
                <w:kern w:val="0"/>
                <w:sz w:val="24"/>
                <w:szCs w:val="24"/>
                <w:lang w:val="en-US" w:eastAsia="zh-CN" w:bidi="ar-SA"/>
              </w:rPr>
              <w:t>河南诚源霖海智能科技有限公司</w:t>
            </w:r>
          </w:p>
        </w:tc>
        <w:tc>
          <w:tcPr>
            <w:tcW w:w="786" w:type="dxa"/>
            <w:shd w:val="clear" w:color="auto" w:fill="auto"/>
            <w:noWrap w:val="0"/>
            <w:vAlign w:val="center"/>
          </w:tcPr>
          <w:p w14:paraId="18BA5B13">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kern w:val="2"/>
                <w:sz w:val="28"/>
                <w:szCs w:val="28"/>
                <w:lang w:val="en-US" w:eastAsia="zh-CN" w:bidi="ar-SA"/>
              </w:rPr>
            </w:pPr>
          </w:p>
        </w:tc>
      </w:tr>
      <w:tr w14:paraId="3DBEA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noWrap w:val="0"/>
            <w:vAlign w:val="center"/>
          </w:tcPr>
          <w:p w14:paraId="2B8D3B96">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default" w:ascii="黑体" w:hAnsi="黑体" w:eastAsia="黑体" w:cs="黑体"/>
                <w:sz w:val="24"/>
                <w:lang w:val="en-US" w:eastAsia="zh-CN"/>
              </w:rPr>
            </w:pPr>
            <w:r>
              <w:rPr>
                <w:rFonts w:hint="eastAsia" w:ascii="黑体" w:hAnsi="黑体" w:eastAsia="黑体" w:cs="黑体"/>
                <w:sz w:val="24"/>
                <w:lang w:val="en-US" w:eastAsia="zh-CN"/>
              </w:rPr>
              <w:t>3</w:t>
            </w:r>
          </w:p>
        </w:tc>
        <w:tc>
          <w:tcPr>
            <w:tcW w:w="2151" w:type="dxa"/>
            <w:shd w:val="clear" w:color="auto" w:fill="auto"/>
            <w:noWrap w:val="0"/>
            <w:vAlign w:val="center"/>
          </w:tcPr>
          <w:p w14:paraId="48846C4F">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基于MetaFormer和深度扩张特征融合网络的高光谱图像分类方法</w:t>
            </w:r>
          </w:p>
        </w:tc>
        <w:tc>
          <w:tcPr>
            <w:tcW w:w="3446" w:type="dxa"/>
            <w:shd w:val="clear" w:color="auto" w:fill="auto"/>
            <w:noWrap w:val="0"/>
            <w:vAlign w:val="center"/>
          </w:tcPr>
          <w:p w14:paraId="3A45CE2A">
            <w:pPr>
              <w:keepNext w:val="0"/>
              <w:keepLines w:val="0"/>
              <w:pageBreakBefore w:val="0"/>
              <w:widowControl w:val="0"/>
              <w:kinsoku/>
              <w:wordWrap/>
              <w:overflowPunct/>
              <w:topLinePunct w:val="0"/>
              <w:autoSpaceDE/>
              <w:autoSpaceDN/>
              <w:bidi w:val="0"/>
              <w:adjustRightInd/>
              <w:spacing w:before="78"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公开了一种基于MetaFormer和深度扩张特征融合网络的高光谱图像分类方法，用以解决现有高光谱图像分类方法在空谱联合特征提取不充分、深层特征融合困难、计算复杂度较高以及分类精度和泛化能力受限等技术问题。</w:t>
            </w:r>
          </w:p>
        </w:tc>
        <w:tc>
          <w:tcPr>
            <w:tcW w:w="1687" w:type="dxa"/>
            <w:shd w:val="clear" w:color="auto" w:fill="auto"/>
            <w:noWrap w:val="0"/>
            <w:vAlign w:val="center"/>
          </w:tcPr>
          <w:p w14:paraId="2CE92CE0">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吴庆岗;贺梦坤;蒋斌;李阳;刘芳华;王华;张秋闻;黄伟 李灿林</w:t>
            </w:r>
          </w:p>
        </w:tc>
        <w:tc>
          <w:tcPr>
            <w:tcW w:w="1360" w:type="dxa"/>
            <w:shd w:val="clear" w:color="auto" w:fill="auto"/>
            <w:noWrap w:val="0"/>
            <w:vAlign w:val="center"/>
          </w:tcPr>
          <w:p w14:paraId="0B56DC44">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长期使用权（10年）</w:t>
            </w:r>
          </w:p>
        </w:tc>
        <w:tc>
          <w:tcPr>
            <w:tcW w:w="1207" w:type="dxa"/>
            <w:shd w:val="clear" w:color="auto" w:fill="auto"/>
            <w:noWrap w:val="0"/>
            <w:vAlign w:val="center"/>
          </w:tcPr>
          <w:p w14:paraId="5A556AFF">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技术许可</w:t>
            </w:r>
          </w:p>
          <w:p w14:paraId="5CA04117">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z w:val="24"/>
                <w:lang w:eastAsia="zh-CN"/>
              </w:rPr>
            </w:pPr>
          </w:p>
        </w:tc>
        <w:tc>
          <w:tcPr>
            <w:tcW w:w="1371" w:type="dxa"/>
            <w:shd w:val="clear" w:color="auto" w:fill="auto"/>
            <w:noWrap w:val="0"/>
            <w:vAlign w:val="center"/>
          </w:tcPr>
          <w:p w14:paraId="59A1242E">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5</w:t>
            </w:r>
          </w:p>
        </w:tc>
        <w:tc>
          <w:tcPr>
            <w:tcW w:w="1285" w:type="dxa"/>
            <w:shd w:val="clear" w:color="auto" w:fill="auto"/>
            <w:noWrap w:val="0"/>
            <w:vAlign w:val="center"/>
          </w:tcPr>
          <w:p w14:paraId="669AE3CC">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napToGrid w:val="0"/>
                <w:color w:val="000000"/>
                <w:spacing w:val="-3"/>
                <w:kern w:val="0"/>
                <w:sz w:val="24"/>
                <w:szCs w:val="24"/>
                <w:lang w:val="en-US" w:eastAsia="zh-CN" w:bidi="ar-SA"/>
              </w:rPr>
            </w:pPr>
            <w:r>
              <w:rPr>
                <w:rFonts w:hint="eastAsia" w:ascii="仿宋" w:hAnsi="仿宋" w:eastAsia="仿宋" w:cs="仿宋"/>
                <w:snapToGrid w:val="0"/>
                <w:color w:val="000000"/>
                <w:spacing w:val="-3"/>
                <w:kern w:val="0"/>
                <w:sz w:val="24"/>
                <w:szCs w:val="24"/>
                <w:lang w:val="en-US" w:eastAsia="zh-CN" w:bidi="ar-SA"/>
              </w:rPr>
              <w:t>河南诚源霖海智能科技有限公司</w:t>
            </w:r>
          </w:p>
        </w:tc>
        <w:tc>
          <w:tcPr>
            <w:tcW w:w="786" w:type="dxa"/>
            <w:shd w:val="clear" w:color="auto" w:fill="auto"/>
            <w:noWrap w:val="0"/>
            <w:vAlign w:val="center"/>
          </w:tcPr>
          <w:p w14:paraId="59B83162">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kern w:val="2"/>
                <w:sz w:val="28"/>
                <w:szCs w:val="28"/>
                <w:lang w:val="en-US" w:eastAsia="zh-CN" w:bidi="ar-SA"/>
              </w:rPr>
            </w:pPr>
          </w:p>
        </w:tc>
      </w:tr>
      <w:tr w14:paraId="04D11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noWrap w:val="0"/>
            <w:vAlign w:val="center"/>
          </w:tcPr>
          <w:p w14:paraId="00AA2825">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default" w:ascii="黑体" w:hAnsi="黑体" w:eastAsia="黑体" w:cs="黑体"/>
                <w:sz w:val="24"/>
                <w:lang w:val="en-US" w:eastAsia="zh-CN"/>
              </w:rPr>
            </w:pPr>
            <w:r>
              <w:rPr>
                <w:rFonts w:hint="eastAsia" w:ascii="黑体" w:hAnsi="黑体" w:eastAsia="黑体" w:cs="黑体"/>
                <w:sz w:val="24"/>
                <w:lang w:val="en-US" w:eastAsia="zh-CN"/>
              </w:rPr>
              <w:t>4</w:t>
            </w:r>
          </w:p>
        </w:tc>
        <w:tc>
          <w:tcPr>
            <w:tcW w:w="2151" w:type="dxa"/>
            <w:shd w:val="clear" w:color="auto" w:fill="auto"/>
            <w:noWrap w:val="0"/>
            <w:vAlign w:val="center"/>
          </w:tcPr>
          <w:p w14:paraId="2C407BCF">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耕地整治潜力评价方法、终端以及计算机可读存储介质</w:t>
            </w:r>
          </w:p>
        </w:tc>
        <w:tc>
          <w:tcPr>
            <w:tcW w:w="3446" w:type="dxa"/>
            <w:shd w:val="clear" w:color="auto" w:fill="auto"/>
            <w:noWrap w:val="0"/>
            <w:vAlign w:val="center"/>
          </w:tcPr>
          <w:p w14:paraId="682E3AB1">
            <w:pPr>
              <w:keepNext w:val="0"/>
              <w:keepLines w:val="0"/>
              <w:pageBreakBefore w:val="0"/>
              <w:widowControl w:val="0"/>
              <w:kinsoku/>
              <w:wordWrap/>
              <w:overflowPunct/>
              <w:topLinePunct w:val="0"/>
              <w:autoSpaceDE/>
              <w:autoSpaceDN/>
              <w:bidi w:val="0"/>
              <w:adjustRightInd/>
              <w:spacing w:before="78"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公开了一种耕地整治潜力评价方法、终端以及计算机可读存储介质，用以解决现有耕地整治潜力评价方法中指标体系不完善、权重确定主观性强、多源数据融合不充分、评价效率与结果可靠性不足等技术问题。</w:t>
            </w:r>
          </w:p>
        </w:tc>
        <w:tc>
          <w:tcPr>
            <w:tcW w:w="1687" w:type="dxa"/>
            <w:shd w:val="clear" w:color="auto" w:fill="auto"/>
            <w:noWrap w:val="0"/>
            <w:vAlign w:val="center"/>
          </w:tcPr>
          <w:p w14:paraId="3BD75855">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陈启强;殷君茹;张明霞;王华;齐长升;殷浩;张珂 杜欣珂</w:t>
            </w:r>
          </w:p>
        </w:tc>
        <w:tc>
          <w:tcPr>
            <w:tcW w:w="1360" w:type="dxa"/>
            <w:shd w:val="clear" w:color="auto" w:fill="auto"/>
            <w:noWrap w:val="0"/>
            <w:vAlign w:val="center"/>
          </w:tcPr>
          <w:p w14:paraId="14E91238">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长期使用权（10年）</w:t>
            </w:r>
          </w:p>
        </w:tc>
        <w:tc>
          <w:tcPr>
            <w:tcW w:w="1207" w:type="dxa"/>
            <w:shd w:val="clear" w:color="auto" w:fill="auto"/>
            <w:noWrap w:val="0"/>
            <w:vAlign w:val="center"/>
          </w:tcPr>
          <w:p w14:paraId="05F689F7">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技术许可</w:t>
            </w:r>
          </w:p>
          <w:p w14:paraId="4360937A">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z w:val="24"/>
                <w:lang w:eastAsia="zh-CN"/>
              </w:rPr>
            </w:pPr>
          </w:p>
        </w:tc>
        <w:tc>
          <w:tcPr>
            <w:tcW w:w="1371" w:type="dxa"/>
            <w:shd w:val="clear" w:color="auto" w:fill="auto"/>
            <w:noWrap w:val="0"/>
            <w:vAlign w:val="center"/>
          </w:tcPr>
          <w:p w14:paraId="043B467A">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4</w:t>
            </w:r>
          </w:p>
        </w:tc>
        <w:tc>
          <w:tcPr>
            <w:tcW w:w="1285" w:type="dxa"/>
            <w:shd w:val="clear" w:color="auto" w:fill="auto"/>
            <w:noWrap w:val="0"/>
            <w:vAlign w:val="center"/>
          </w:tcPr>
          <w:p w14:paraId="0DBD1298">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napToGrid w:val="0"/>
                <w:color w:val="000000"/>
                <w:spacing w:val="-3"/>
                <w:kern w:val="0"/>
                <w:sz w:val="24"/>
                <w:szCs w:val="24"/>
                <w:lang w:val="en-US" w:eastAsia="zh-CN" w:bidi="ar-SA"/>
              </w:rPr>
            </w:pPr>
            <w:r>
              <w:rPr>
                <w:rFonts w:hint="eastAsia" w:ascii="仿宋" w:hAnsi="仿宋" w:eastAsia="仿宋" w:cs="仿宋"/>
                <w:snapToGrid w:val="0"/>
                <w:color w:val="000000"/>
                <w:spacing w:val="-3"/>
                <w:kern w:val="0"/>
                <w:sz w:val="24"/>
                <w:szCs w:val="24"/>
                <w:lang w:val="en-US" w:eastAsia="zh-CN" w:bidi="ar-SA"/>
              </w:rPr>
              <w:t>河南诚源霖海智能科技有限公司</w:t>
            </w:r>
          </w:p>
        </w:tc>
        <w:tc>
          <w:tcPr>
            <w:tcW w:w="786" w:type="dxa"/>
            <w:shd w:val="clear" w:color="auto" w:fill="auto"/>
            <w:noWrap w:val="0"/>
            <w:vAlign w:val="center"/>
          </w:tcPr>
          <w:p w14:paraId="3EB9C9E5">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kern w:val="2"/>
                <w:sz w:val="28"/>
                <w:szCs w:val="28"/>
                <w:lang w:val="en-US" w:eastAsia="zh-CN" w:bidi="ar-SA"/>
              </w:rPr>
            </w:pPr>
          </w:p>
        </w:tc>
      </w:tr>
      <w:tr w14:paraId="07CA8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noWrap w:val="0"/>
            <w:vAlign w:val="center"/>
          </w:tcPr>
          <w:p w14:paraId="447B605E">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default" w:ascii="黑体" w:hAnsi="黑体" w:eastAsia="黑体" w:cs="黑体"/>
                <w:sz w:val="24"/>
                <w:lang w:val="en-US" w:eastAsia="zh-CN"/>
              </w:rPr>
            </w:pPr>
            <w:r>
              <w:rPr>
                <w:rFonts w:hint="eastAsia" w:ascii="黑体" w:hAnsi="黑体" w:eastAsia="黑体" w:cs="黑体"/>
                <w:sz w:val="24"/>
                <w:lang w:val="en-US" w:eastAsia="zh-CN"/>
              </w:rPr>
              <w:t>5</w:t>
            </w:r>
          </w:p>
        </w:tc>
        <w:tc>
          <w:tcPr>
            <w:tcW w:w="2151" w:type="dxa"/>
            <w:shd w:val="clear" w:color="auto" w:fill="auto"/>
            <w:noWrap w:val="0"/>
            <w:vAlign w:val="center"/>
          </w:tcPr>
          <w:p w14:paraId="335A7DEF">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使用粒子群优化多核支持向量机的高光谱图像空谱联合分类方法及系统</w:t>
            </w:r>
          </w:p>
        </w:tc>
        <w:tc>
          <w:tcPr>
            <w:tcW w:w="3446" w:type="dxa"/>
            <w:shd w:val="clear" w:color="auto" w:fill="auto"/>
            <w:noWrap w:val="0"/>
            <w:vAlign w:val="center"/>
          </w:tcPr>
          <w:p w14:paraId="33CA55D7">
            <w:pPr>
              <w:keepNext w:val="0"/>
              <w:keepLines w:val="0"/>
              <w:pageBreakBefore w:val="0"/>
              <w:widowControl w:val="0"/>
              <w:kinsoku/>
              <w:wordWrap/>
              <w:overflowPunct/>
              <w:topLinePunct w:val="0"/>
              <w:autoSpaceDE/>
              <w:autoSpaceDN/>
              <w:bidi w:val="0"/>
              <w:adjustRightInd/>
              <w:spacing w:before="78"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公开了一种使用粒子群优化多核支持向量机的高光谱图像空谱联合分类方法及系统，用以解决现有高光谱图像分类方法在空谱特征利用不充分、多核权重参数依赖人工经验设置、单一核函数特征表达能力有限以及地物分类精度不高等技术问题。</w:t>
            </w:r>
          </w:p>
        </w:tc>
        <w:tc>
          <w:tcPr>
            <w:tcW w:w="1687" w:type="dxa"/>
            <w:shd w:val="clear" w:color="auto" w:fill="auto"/>
            <w:noWrap w:val="0"/>
            <w:vAlign w:val="center"/>
          </w:tcPr>
          <w:p w14:paraId="113199AA">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王华;陈梦奇;黄伟;殷君茹。</w:t>
            </w:r>
          </w:p>
        </w:tc>
        <w:tc>
          <w:tcPr>
            <w:tcW w:w="1360" w:type="dxa"/>
            <w:shd w:val="clear" w:color="auto" w:fill="auto"/>
            <w:noWrap w:val="0"/>
            <w:vAlign w:val="center"/>
          </w:tcPr>
          <w:p w14:paraId="2B3DBB74">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长期使用权（10年）</w:t>
            </w:r>
          </w:p>
        </w:tc>
        <w:tc>
          <w:tcPr>
            <w:tcW w:w="1207" w:type="dxa"/>
            <w:shd w:val="clear" w:color="auto" w:fill="auto"/>
            <w:noWrap w:val="0"/>
            <w:vAlign w:val="center"/>
          </w:tcPr>
          <w:p w14:paraId="3DE905AD">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z w:val="24"/>
                <w:lang w:eastAsia="zh-CN"/>
              </w:rPr>
            </w:pPr>
            <w:r>
              <w:rPr>
                <w:rFonts w:hint="eastAsia" w:ascii="仿宋" w:hAnsi="仿宋" w:eastAsia="仿宋" w:cs="仿宋"/>
                <w:sz w:val="24"/>
                <w:lang w:val="en-US" w:eastAsia="zh-CN"/>
              </w:rPr>
              <w:t>技术许可</w:t>
            </w:r>
          </w:p>
        </w:tc>
        <w:tc>
          <w:tcPr>
            <w:tcW w:w="1371" w:type="dxa"/>
            <w:shd w:val="clear" w:color="auto" w:fill="auto"/>
            <w:noWrap w:val="0"/>
            <w:vAlign w:val="center"/>
          </w:tcPr>
          <w:p w14:paraId="7F720043">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3.1</w:t>
            </w:r>
          </w:p>
        </w:tc>
        <w:tc>
          <w:tcPr>
            <w:tcW w:w="1285" w:type="dxa"/>
            <w:shd w:val="clear" w:color="auto" w:fill="auto"/>
            <w:noWrap w:val="0"/>
            <w:vAlign w:val="center"/>
          </w:tcPr>
          <w:p w14:paraId="71908F5A">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napToGrid w:val="0"/>
                <w:color w:val="000000"/>
                <w:spacing w:val="-3"/>
                <w:kern w:val="0"/>
                <w:sz w:val="24"/>
                <w:szCs w:val="24"/>
                <w:lang w:val="en-US" w:eastAsia="zh-CN" w:bidi="ar-SA"/>
              </w:rPr>
            </w:pPr>
            <w:r>
              <w:rPr>
                <w:rFonts w:hint="eastAsia" w:ascii="仿宋" w:hAnsi="仿宋" w:eastAsia="仿宋" w:cs="仿宋"/>
                <w:snapToGrid w:val="0"/>
                <w:color w:val="000000"/>
                <w:spacing w:val="-3"/>
                <w:kern w:val="0"/>
                <w:sz w:val="24"/>
                <w:szCs w:val="24"/>
                <w:lang w:val="en-US" w:eastAsia="zh-CN" w:bidi="ar-SA"/>
              </w:rPr>
              <w:t>河南诚源霖海智能科技有限公司</w:t>
            </w:r>
          </w:p>
        </w:tc>
        <w:tc>
          <w:tcPr>
            <w:tcW w:w="786" w:type="dxa"/>
            <w:shd w:val="clear" w:color="auto" w:fill="auto"/>
            <w:noWrap w:val="0"/>
            <w:vAlign w:val="center"/>
          </w:tcPr>
          <w:p w14:paraId="3CC3BF5C">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kern w:val="2"/>
                <w:sz w:val="28"/>
                <w:szCs w:val="28"/>
                <w:lang w:val="en-US" w:eastAsia="zh-CN" w:bidi="ar-SA"/>
              </w:rPr>
            </w:pPr>
          </w:p>
        </w:tc>
      </w:tr>
      <w:tr w14:paraId="54968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noWrap w:val="0"/>
            <w:vAlign w:val="center"/>
          </w:tcPr>
          <w:p w14:paraId="74BE1A37">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default" w:ascii="黑体" w:hAnsi="黑体" w:eastAsia="黑体" w:cs="黑体"/>
                <w:sz w:val="24"/>
                <w:lang w:val="en-US" w:eastAsia="zh-CN"/>
              </w:rPr>
            </w:pPr>
            <w:r>
              <w:rPr>
                <w:rFonts w:hint="eastAsia" w:ascii="黑体" w:hAnsi="黑体" w:eastAsia="黑体" w:cs="黑体"/>
                <w:sz w:val="24"/>
                <w:lang w:val="en-US" w:eastAsia="zh-CN"/>
              </w:rPr>
              <w:t>6</w:t>
            </w:r>
          </w:p>
        </w:tc>
        <w:tc>
          <w:tcPr>
            <w:tcW w:w="2151" w:type="dxa"/>
            <w:shd w:val="clear" w:color="auto" w:fill="auto"/>
            <w:noWrap w:val="0"/>
            <w:vAlign w:val="center"/>
          </w:tcPr>
          <w:p w14:paraId="459655ED">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任务自适应的高光谱遥感图像小样本分类方法</w:t>
            </w:r>
          </w:p>
        </w:tc>
        <w:tc>
          <w:tcPr>
            <w:tcW w:w="3446" w:type="dxa"/>
            <w:shd w:val="clear" w:color="auto" w:fill="auto"/>
            <w:noWrap w:val="0"/>
            <w:vAlign w:val="center"/>
          </w:tcPr>
          <w:p w14:paraId="18333F65">
            <w:pPr>
              <w:keepNext w:val="0"/>
              <w:keepLines w:val="0"/>
              <w:pageBreakBefore w:val="0"/>
              <w:widowControl w:val="0"/>
              <w:kinsoku/>
              <w:wordWrap/>
              <w:overflowPunct/>
              <w:topLinePunct w:val="0"/>
              <w:autoSpaceDE/>
              <w:autoSpaceDN/>
              <w:bidi w:val="0"/>
              <w:adjustRightInd/>
              <w:spacing w:before="78"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公开了一种任务自适应的高光谱遥感图像小样本分类方法，用以解决现有高光谱遥感图像分类方法在小样本条件下模型泛化能力不足、空谱联合特征自适应提取能力差、特征提取器对新任务迁移适应性弱以及小样本场景下分类精度不高等技术问题。</w:t>
            </w:r>
          </w:p>
        </w:tc>
        <w:tc>
          <w:tcPr>
            <w:tcW w:w="1687" w:type="dxa"/>
            <w:shd w:val="clear" w:color="auto" w:fill="auto"/>
            <w:noWrap w:val="0"/>
            <w:vAlign w:val="center"/>
          </w:tcPr>
          <w:p w14:paraId="52285881">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王华;张雨昂;陈梦奇;黄伟</w:t>
            </w:r>
          </w:p>
        </w:tc>
        <w:tc>
          <w:tcPr>
            <w:tcW w:w="1360" w:type="dxa"/>
            <w:shd w:val="clear" w:color="auto" w:fill="auto"/>
            <w:noWrap w:val="0"/>
            <w:vAlign w:val="center"/>
          </w:tcPr>
          <w:p w14:paraId="6DAAC97A">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长期使用权（10年）</w:t>
            </w:r>
          </w:p>
        </w:tc>
        <w:tc>
          <w:tcPr>
            <w:tcW w:w="1207" w:type="dxa"/>
            <w:shd w:val="clear" w:color="auto" w:fill="auto"/>
            <w:noWrap w:val="0"/>
            <w:vAlign w:val="center"/>
          </w:tcPr>
          <w:p w14:paraId="1E98B66D">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z w:val="24"/>
                <w:lang w:eastAsia="zh-CN"/>
              </w:rPr>
            </w:pPr>
            <w:r>
              <w:rPr>
                <w:rFonts w:hint="eastAsia" w:ascii="仿宋" w:hAnsi="仿宋" w:eastAsia="仿宋" w:cs="仿宋"/>
                <w:sz w:val="24"/>
                <w:lang w:val="en-US" w:eastAsia="zh-CN"/>
              </w:rPr>
              <w:t>技术许可</w:t>
            </w:r>
          </w:p>
        </w:tc>
        <w:tc>
          <w:tcPr>
            <w:tcW w:w="1371" w:type="dxa"/>
            <w:shd w:val="clear" w:color="auto" w:fill="auto"/>
            <w:noWrap w:val="0"/>
            <w:vAlign w:val="center"/>
          </w:tcPr>
          <w:p w14:paraId="35314C5B">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3.1</w:t>
            </w:r>
          </w:p>
        </w:tc>
        <w:tc>
          <w:tcPr>
            <w:tcW w:w="1285" w:type="dxa"/>
            <w:shd w:val="clear" w:color="auto" w:fill="auto"/>
            <w:noWrap w:val="0"/>
            <w:vAlign w:val="center"/>
          </w:tcPr>
          <w:p w14:paraId="175A5A3B">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napToGrid w:val="0"/>
                <w:color w:val="000000"/>
                <w:spacing w:val="-3"/>
                <w:kern w:val="0"/>
                <w:sz w:val="24"/>
                <w:szCs w:val="24"/>
                <w:lang w:val="en-US" w:eastAsia="zh-CN" w:bidi="ar-SA"/>
              </w:rPr>
            </w:pPr>
            <w:r>
              <w:rPr>
                <w:rFonts w:hint="eastAsia" w:ascii="仿宋" w:hAnsi="仿宋" w:eastAsia="仿宋" w:cs="仿宋"/>
                <w:snapToGrid w:val="0"/>
                <w:color w:val="000000"/>
                <w:spacing w:val="-3"/>
                <w:kern w:val="0"/>
                <w:sz w:val="24"/>
                <w:szCs w:val="24"/>
                <w:lang w:val="en-US" w:eastAsia="zh-CN" w:bidi="ar-SA"/>
              </w:rPr>
              <w:t>河南诚源霖海智能科技有限公司</w:t>
            </w:r>
          </w:p>
        </w:tc>
        <w:tc>
          <w:tcPr>
            <w:tcW w:w="786" w:type="dxa"/>
            <w:shd w:val="clear" w:color="auto" w:fill="auto"/>
            <w:noWrap w:val="0"/>
            <w:vAlign w:val="center"/>
          </w:tcPr>
          <w:p w14:paraId="60E52D60">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kern w:val="2"/>
                <w:sz w:val="28"/>
                <w:szCs w:val="28"/>
                <w:lang w:val="en-US" w:eastAsia="zh-CN" w:bidi="ar-SA"/>
              </w:rPr>
            </w:pPr>
          </w:p>
        </w:tc>
      </w:tr>
      <w:tr w14:paraId="254A9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noWrap w:val="0"/>
            <w:vAlign w:val="center"/>
          </w:tcPr>
          <w:p w14:paraId="4A11CED2">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default" w:ascii="黑体" w:hAnsi="黑体" w:eastAsia="黑体" w:cs="黑体"/>
                <w:sz w:val="24"/>
                <w:lang w:val="en-US" w:eastAsia="zh-CN"/>
              </w:rPr>
            </w:pPr>
            <w:r>
              <w:rPr>
                <w:rFonts w:hint="eastAsia" w:ascii="黑体" w:hAnsi="黑体" w:eastAsia="黑体" w:cs="黑体"/>
                <w:sz w:val="24"/>
                <w:lang w:val="en-US" w:eastAsia="zh-CN"/>
              </w:rPr>
              <w:t>7</w:t>
            </w:r>
          </w:p>
        </w:tc>
        <w:tc>
          <w:tcPr>
            <w:tcW w:w="2151" w:type="dxa"/>
            <w:shd w:val="clear" w:color="auto" w:fill="auto"/>
            <w:noWrap w:val="0"/>
            <w:vAlign w:val="center"/>
          </w:tcPr>
          <w:p w14:paraId="030A86AF">
            <w:pPr>
              <w:snapToGrid w:val="0"/>
              <w:spacing w:line="340" w:lineRule="atLeast"/>
              <w:jc w:val="center"/>
              <w:rPr>
                <w:rFonts w:hint="eastAsia" w:ascii="仿宋" w:hAnsi="仿宋" w:eastAsia="仿宋" w:cs="仿宋"/>
                <w:snapToGrid w:val="0"/>
                <w:color w:val="000000"/>
                <w:spacing w:val="-4"/>
                <w:kern w:val="0"/>
                <w:sz w:val="24"/>
                <w:szCs w:val="24"/>
                <w:lang w:val="en-US" w:eastAsia="zh-CN" w:bidi="ar-SA"/>
              </w:rPr>
            </w:pPr>
            <w:r>
              <w:rPr>
                <w:rFonts w:ascii="仿宋" w:hAnsi="仿宋" w:eastAsia="仿宋"/>
                <w:sz w:val="24"/>
              </w:rPr>
              <w:t>基于小型热管数据搭建人工神经网络模型的软件V1.0</w:t>
            </w:r>
          </w:p>
        </w:tc>
        <w:tc>
          <w:tcPr>
            <w:tcW w:w="3446" w:type="dxa"/>
            <w:shd w:val="clear" w:color="auto" w:fill="auto"/>
            <w:noWrap w:val="0"/>
            <w:vAlign w:val="center"/>
          </w:tcPr>
          <w:p w14:paraId="5D17069B">
            <w:pPr>
              <w:widowControl/>
              <w:spacing w:line="360" w:lineRule="auto"/>
              <w:ind w:firstLine="240" w:firstLineChars="100"/>
              <w:jc w:val="center"/>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宋体"/>
                <w:kern w:val="0"/>
                <w:sz w:val="24"/>
              </w:rPr>
              <w:t>本软件旨在为数据中心工程用户提供小型热管最佳工况预测。</w:t>
            </w:r>
          </w:p>
        </w:tc>
        <w:tc>
          <w:tcPr>
            <w:tcW w:w="1687" w:type="dxa"/>
            <w:shd w:val="clear" w:color="auto" w:fill="auto"/>
            <w:noWrap w:val="0"/>
            <w:vAlign w:val="center"/>
          </w:tcPr>
          <w:p w14:paraId="7CB19672">
            <w:pPr>
              <w:snapToGrid w:val="0"/>
              <w:spacing w:line="340" w:lineRule="atLeast"/>
              <w:jc w:val="center"/>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rPr>
              <w:t>王仙玲、刘洋、朱飞宇、刘英利</w:t>
            </w:r>
          </w:p>
        </w:tc>
        <w:tc>
          <w:tcPr>
            <w:tcW w:w="1360" w:type="dxa"/>
            <w:shd w:val="clear" w:color="auto" w:fill="auto"/>
            <w:noWrap w:val="0"/>
            <w:vAlign w:val="center"/>
          </w:tcPr>
          <w:p w14:paraId="0B8D14BF">
            <w:pPr>
              <w:snapToGrid w:val="0"/>
              <w:spacing w:line="340" w:lineRule="atLeast"/>
              <w:jc w:val="center"/>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auto"/>
                <w:spacing w:val="-4"/>
                <w:kern w:val="0"/>
                <w:sz w:val="24"/>
              </w:rPr>
              <w:t>所有权（学校10%，成果完成团队90%）</w:t>
            </w:r>
          </w:p>
        </w:tc>
        <w:tc>
          <w:tcPr>
            <w:tcW w:w="1207" w:type="dxa"/>
            <w:shd w:val="clear" w:color="auto" w:fill="auto"/>
            <w:noWrap w:val="0"/>
            <w:vAlign w:val="center"/>
          </w:tcPr>
          <w:p w14:paraId="1B806C0B">
            <w:pPr>
              <w:spacing w:line="340" w:lineRule="atLeast"/>
              <w:jc w:val="center"/>
              <w:rPr>
                <w:rFonts w:hint="eastAsia" w:ascii="仿宋" w:hAnsi="仿宋" w:eastAsia="仿宋" w:cs="仿宋"/>
                <w:kern w:val="2"/>
                <w:sz w:val="24"/>
                <w:szCs w:val="24"/>
                <w:lang w:val="en-US" w:eastAsia="zh-CN" w:bidi="ar-SA"/>
              </w:rPr>
            </w:pPr>
            <w:r>
              <w:rPr>
                <w:rFonts w:hint="eastAsia" w:ascii="仿宋" w:hAnsi="仿宋" w:eastAsia="仿宋" w:cs="仿宋"/>
                <w:sz w:val="24"/>
              </w:rPr>
              <w:t>技术转让</w:t>
            </w:r>
          </w:p>
        </w:tc>
        <w:tc>
          <w:tcPr>
            <w:tcW w:w="1371" w:type="dxa"/>
            <w:shd w:val="clear" w:color="auto" w:fill="auto"/>
            <w:noWrap w:val="0"/>
            <w:vAlign w:val="center"/>
          </w:tcPr>
          <w:p w14:paraId="58478F7E">
            <w:pPr>
              <w:spacing w:line="340" w:lineRule="atLeast"/>
              <w:jc w:val="center"/>
              <w:rPr>
                <w:rFonts w:hint="eastAsia" w:ascii="仿宋" w:hAnsi="仿宋" w:eastAsia="仿宋" w:cs="仿宋"/>
                <w:kern w:val="2"/>
                <w:sz w:val="24"/>
                <w:szCs w:val="24"/>
                <w:lang w:val="en-US" w:eastAsia="zh-CN" w:bidi="ar-SA"/>
              </w:rPr>
            </w:pPr>
            <w:r>
              <w:rPr>
                <w:rFonts w:hint="eastAsia" w:ascii="仿宋" w:hAnsi="仿宋" w:eastAsia="仿宋" w:cs="仿宋"/>
                <w:sz w:val="24"/>
              </w:rPr>
              <w:t>16</w:t>
            </w:r>
          </w:p>
        </w:tc>
        <w:tc>
          <w:tcPr>
            <w:tcW w:w="1285" w:type="dxa"/>
            <w:shd w:val="clear" w:color="auto" w:fill="auto"/>
            <w:noWrap w:val="0"/>
            <w:vAlign w:val="center"/>
          </w:tcPr>
          <w:p w14:paraId="68A298EE">
            <w:pPr>
              <w:spacing w:line="340" w:lineRule="atLeast"/>
              <w:jc w:val="center"/>
              <w:rPr>
                <w:rFonts w:hint="eastAsia" w:ascii="仿宋" w:hAnsi="仿宋" w:eastAsia="仿宋" w:cs="仿宋"/>
                <w:snapToGrid w:val="0"/>
                <w:color w:val="000000"/>
                <w:spacing w:val="-3"/>
                <w:kern w:val="0"/>
                <w:sz w:val="24"/>
                <w:szCs w:val="24"/>
                <w:lang w:val="en-US" w:eastAsia="zh-CN" w:bidi="ar-SA"/>
              </w:rPr>
            </w:pPr>
            <w:r>
              <w:rPr>
                <w:rFonts w:hint="eastAsia" w:ascii="仿宋" w:hAnsi="仿宋" w:eastAsia="仿宋" w:cs="仿宋"/>
                <w:snapToGrid w:val="0"/>
                <w:color w:val="000000"/>
                <w:spacing w:val="-3"/>
                <w:kern w:val="0"/>
                <w:sz w:val="24"/>
              </w:rPr>
              <w:t>河南建艺工程设计咨询有限公司</w:t>
            </w:r>
          </w:p>
        </w:tc>
        <w:tc>
          <w:tcPr>
            <w:tcW w:w="786" w:type="dxa"/>
            <w:shd w:val="clear" w:color="auto" w:fill="auto"/>
            <w:noWrap w:val="0"/>
            <w:vAlign w:val="center"/>
          </w:tcPr>
          <w:p w14:paraId="491DAB0B">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kern w:val="2"/>
                <w:sz w:val="28"/>
                <w:szCs w:val="28"/>
                <w:lang w:val="en-US" w:eastAsia="zh-CN" w:bidi="ar-SA"/>
              </w:rPr>
            </w:pPr>
          </w:p>
        </w:tc>
      </w:tr>
      <w:tr w14:paraId="1FFC1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noWrap w:val="0"/>
            <w:vAlign w:val="center"/>
          </w:tcPr>
          <w:p w14:paraId="160E56B4">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default" w:ascii="黑体" w:hAnsi="黑体" w:eastAsia="黑体" w:cs="黑体"/>
                <w:sz w:val="24"/>
                <w:lang w:val="en-US" w:eastAsia="zh-CN"/>
              </w:rPr>
            </w:pPr>
            <w:r>
              <w:rPr>
                <w:rFonts w:hint="eastAsia" w:ascii="黑体" w:hAnsi="黑体" w:eastAsia="黑体" w:cs="黑体"/>
                <w:sz w:val="24"/>
                <w:lang w:val="en-US" w:eastAsia="zh-CN"/>
              </w:rPr>
              <w:t>8</w:t>
            </w:r>
            <w:bookmarkStart w:id="0" w:name="_GoBack"/>
            <w:bookmarkEnd w:id="0"/>
          </w:p>
        </w:tc>
        <w:tc>
          <w:tcPr>
            <w:tcW w:w="2151" w:type="dxa"/>
            <w:shd w:val="clear"/>
            <w:noWrap w:val="0"/>
            <w:vAlign w:val="center"/>
          </w:tcPr>
          <w:p w14:paraId="542B5E8B">
            <w:pPr>
              <w:snapToGrid w:val="0"/>
              <w:spacing w:line="340" w:lineRule="atLeast"/>
              <w:jc w:val="center"/>
              <w:rPr>
                <w:rFonts w:hint="eastAsia" w:ascii="仿宋" w:hAnsi="仿宋" w:eastAsia="仿宋" w:cs="仿宋"/>
                <w:snapToGrid w:val="0"/>
                <w:color w:val="000000"/>
                <w:spacing w:val="-4"/>
                <w:kern w:val="0"/>
                <w:sz w:val="24"/>
                <w:szCs w:val="24"/>
                <w:lang w:val="en-US" w:eastAsia="zh-CN" w:bidi="ar-SA"/>
              </w:rPr>
            </w:pPr>
            <w:r>
              <w:rPr>
                <w:rFonts w:ascii="Times New Roman" w:hAnsi="Times New Roman"/>
                <w:sz w:val="24"/>
              </w:rPr>
              <w:t>一种基于SAA-SSA-BPNN的网络安全态势评估方法</w:t>
            </w:r>
          </w:p>
        </w:tc>
        <w:tc>
          <w:tcPr>
            <w:tcW w:w="3446" w:type="dxa"/>
            <w:shd w:val="clear"/>
            <w:noWrap w:val="0"/>
            <w:vAlign w:val="center"/>
          </w:tcPr>
          <w:p w14:paraId="64DAEAA3">
            <w:pPr>
              <w:spacing w:before="78" w:line="340" w:lineRule="atLeast"/>
              <w:ind w:firstLine="464" w:firstLineChars="200"/>
              <w:rPr>
                <w:rFonts w:hint="eastAsia" w:ascii="仿宋" w:hAnsi="仿宋" w:eastAsia="仿宋" w:cs="仿宋"/>
                <w:snapToGrid w:val="0"/>
                <w:color w:val="000000"/>
                <w:spacing w:val="-4"/>
                <w:kern w:val="0"/>
                <w:sz w:val="24"/>
                <w:szCs w:val="24"/>
                <w:lang w:val="en-US" w:eastAsia="zh-CN" w:bidi="ar-SA"/>
              </w:rPr>
            </w:pPr>
            <w:r>
              <w:rPr>
                <w:rFonts w:ascii="Times New Roman" w:hAnsi="Times New Roman" w:eastAsia="仿宋"/>
                <w:snapToGrid w:val="0"/>
                <w:color w:val="000000"/>
                <w:spacing w:val="-4"/>
                <w:kern w:val="0"/>
                <w:sz w:val="24"/>
              </w:rPr>
              <w:t>本发明公开了一种基于SAA-SSA-BPNN 的网络安全态势评估方法，具体包括以下步骤：步骤一：构建网络安全态势指标体系，对收集到的指标数据进行预处理；步骤二：建立基于SAA-SSA-BPNN的网络安全态势评估模型：具体包括：用模拟退火算法优化麻雀搜索算法；用优化后的麻雀搜索算法获取BP神经网络的最优初始权值和阈值；对用SAA-SSA算法优化后的BPNN进行训练；生成具有评估能力的SAA-SSA-BPNN模型；步骤三：基于SAA-SSA-BPNN 模型进行网络安全态势评估：输入测试数据到SAA-SSA-BPNN模型进行网络安全态势评估。该发明的技术效果为：解决了麻雀搜索算法易陷入局部最优和BPNN的最优权值和阈值难以确定及收敛速度缓慢的问题，显著提高了评估的准确性和收敛速度。</w:t>
            </w:r>
          </w:p>
        </w:tc>
        <w:tc>
          <w:tcPr>
            <w:tcW w:w="1687" w:type="dxa"/>
            <w:shd w:val="clear"/>
            <w:noWrap w:val="0"/>
            <w:vAlign w:val="center"/>
          </w:tcPr>
          <w:p w14:paraId="105E74B7">
            <w:pPr>
              <w:snapToGrid w:val="0"/>
              <w:spacing w:line="340" w:lineRule="atLeast"/>
              <w:jc w:val="left"/>
              <w:rPr>
                <w:rFonts w:hint="eastAsia" w:ascii="仿宋" w:hAnsi="仿宋" w:eastAsia="仿宋" w:cs="仿宋"/>
                <w:snapToGrid w:val="0"/>
                <w:color w:val="000000"/>
                <w:spacing w:val="-4"/>
                <w:kern w:val="0"/>
                <w:sz w:val="24"/>
                <w:szCs w:val="24"/>
                <w:lang w:val="en-US" w:eastAsia="zh-CN" w:bidi="ar-SA"/>
              </w:rPr>
            </w:pPr>
            <w:r>
              <w:rPr>
                <w:sz w:val="24"/>
              </w:rPr>
              <w:t>张然;潘芷涵;王一帆;甘勇;尹毅峰</w:t>
            </w:r>
          </w:p>
        </w:tc>
        <w:tc>
          <w:tcPr>
            <w:tcW w:w="1360" w:type="dxa"/>
            <w:shd w:val="clear"/>
            <w:noWrap w:val="0"/>
            <w:vAlign w:val="center"/>
          </w:tcPr>
          <w:p w14:paraId="30C5450E">
            <w:pPr>
              <w:snapToGrid w:val="0"/>
              <w:spacing w:line="340" w:lineRule="atLeast"/>
              <w:jc w:val="center"/>
              <w:rPr>
                <w:rFonts w:hint="eastAsia" w:ascii="Times New Roman" w:hAnsi="Times New Roman" w:eastAsia="宋体" w:cs="Times New Roman"/>
                <w:snapToGrid w:val="0"/>
                <w:color w:val="000000"/>
                <w:spacing w:val="-4"/>
                <w:kern w:val="0"/>
                <w:sz w:val="24"/>
                <w:szCs w:val="24"/>
                <w:lang w:val="en-US" w:eastAsia="zh-CN" w:bidi="ar-SA"/>
              </w:rPr>
            </w:pPr>
            <w:r>
              <w:rPr>
                <w:rFonts w:ascii="Times New Roman" w:hAnsi="Times New Roman"/>
                <w:snapToGrid w:val="0"/>
                <w:color w:val="000000"/>
                <w:spacing w:val="-4"/>
                <w:kern w:val="0"/>
                <w:sz w:val="24"/>
              </w:rPr>
              <w:t>长期使用权（</w:t>
            </w:r>
            <w:r>
              <w:rPr>
                <w:rFonts w:hint="eastAsia" w:ascii="Times New Roman" w:hAnsi="Times New Roman"/>
                <w:snapToGrid w:val="0"/>
                <w:color w:val="000000"/>
                <w:spacing w:val="-4"/>
                <w:kern w:val="0"/>
                <w:sz w:val="24"/>
                <w:lang w:val="en-US" w:eastAsia="zh-CN"/>
              </w:rPr>
              <w:t>10年</w:t>
            </w:r>
            <w:r>
              <w:rPr>
                <w:rFonts w:ascii="Times New Roman" w:hAnsi="Times New Roman"/>
                <w:snapToGrid w:val="0"/>
                <w:color w:val="000000"/>
                <w:spacing w:val="-4"/>
                <w:kern w:val="0"/>
                <w:sz w:val="24"/>
              </w:rPr>
              <w:t>）</w:t>
            </w:r>
          </w:p>
        </w:tc>
        <w:tc>
          <w:tcPr>
            <w:tcW w:w="1207" w:type="dxa"/>
            <w:shd w:val="clear"/>
            <w:noWrap w:val="0"/>
            <w:vAlign w:val="center"/>
          </w:tcPr>
          <w:p w14:paraId="45E6217C">
            <w:pPr>
              <w:spacing w:line="340" w:lineRule="atLeast"/>
              <w:jc w:val="center"/>
              <w:rPr>
                <w:rFonts w:ascii="Times New Roman" w:hAnsi="Times New Roman"/>
                <w:sz w:val="24"/>
              </w:rPr>
            </w:pPr>
            <w:r>
              <w:rPr>
                <w:rFonts w:ascii="Times New Roman" w:hAnsi="Times New Roman"/>
                <w:sz w:val="24"/>
              </w:rPr>
              <w:t>技术许可</w:t>
            </w:r>
          </w:p>
          <w:p w14:paraId="039BE613">
            <w:pPr>
              <w:spacing w:line="340" w:lineRule="atLeast"/>
              <w:jc w:val="center"/>
              <w:rPr>
                <w:rFonts w:hint="eastAsia" w:ascii="Times New Roman" w:hAnsi="Times New Roman" w:eastAsia="宋体" w:cs="Times New Roman"/>
                <w:kern w:val="2"/>
                <w:sz w:val="24"/>
                <w:szCs w:val="24"/>
                <w:lang w:val="en-US" w:eastAsia="zh-CN" w:bidi="ar-SA"/>
              </w:rPr>
            </w:pPr>
          </w:p>
        </w:tc>
        <w:tc>
          <w:tcPr>
            <w:tcW w:w="1371" w:type="dxa"/>
            <w:shd w:val="clear"/>
            <w:noWrap w:val="0"/>
            <w:vAlign w:val="center"/>
          </w:tcPr>
          <w:p w14:paraId="084852EB">
            <w:pPr>
              <w:spacing w:line="340" w:lineRule="atLeast"/>
              <w:jc w:val="center"/>
              <w:rPr>
                <w:rFonts w:hint="eastAsia" w:ascii="Times New Roman" w:hAnsi="Times New Roman" w:eastAsia="宋体" w:cs="Times New Roman"/>
                <w:kern w:val="2"/>
                <w:sz w:val="24"/>
                <w:szCs w:val="24"/>
                <w:lang w:val="en-US" w:eastAsia="zh-CN" w:bidi="ar-SA"/>
              </w:rPr>
            </w:pPr>
            <w:r>
              <w:rPr>
                <w:rFonts w:ascii="Times New Roman" w:hAnsi="Times New Roman"/>
                <w:sz w:val="24"/>
              </w:rPr>
              <w:t>3</w:t>
            </w:r>
          </w:p>
        </w:tc>
        <w:tc>
          <w:tcPr>
            <w:tcW w:w="1285" w:type="dxa"/>
            <w:shd w:val="clear"/>
            <w:noWrap w:val="0"/>
            <w:vAlign w:val="center"/>
          </w:tcPr>
          <w:p w14:paraId="67680BD1">
            <w:pPr>
              <w:spacing w:line="340" w:lineRule="atLeast"/>
              <w:jc w:val="center"/>
              <w:rPr>
                <w:rFonts w:hint="eastAsia" w:ascii="仿宋" w:hAnsi="仿宋" w:eastAsia="仿宋" w:cs="仿宋"/>
                <w:snapToGrid w:val="0"/>
                <w:color w:val="000000"/>
                <w:spacing w:val="-3"/>
                <w:kern w:val="0"/>
                <w:sz w:val="24"/>
                <w:szCs w:val="24"/>
                <w:lang w:val="en-US" w:eastAsia="zh-CN" w:bidi="ar-SA"/>
              </w:rPr>
            </w:pPr>
            <w:r>
              <w:rPr>
                <w:sz w:val="24"/>
              </w:rPr>
              <w:t>河南航天金穗电子有限公司</w:t>
            </w:r>
          </w:p>
        </w:tc>
        <w:tc>
          <w:tcPr>
            <w:tcW w:w="786" w:type="dxa"/>
            <w:shd w:val="clear" w:color="auto" w:fill="auto"/>
            <w:noWrap w:val="0"/>
            <w:vAlign w:val="center"/>
          </w:tcPr>
          <w:p w14:paraId="224B06D4">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kern w:val="2"/>
                <w:sz w:val="28"/>
                <w:szCs w:val="28"/>
                <w:lang w:val="en-US" w:eastAsia="zh-CN" w:bidi="ar-SA"/>
              </w:rPr>
            </w:pPr>
          </w:p>
        </w:tc>
      </w:tr>
    </w:tbl>
    <w:p w14:paraId="66FBFBD9">
      <w:pPr>
        <w:jc w:val="center"/>
      </w:pPr>
    </w:p>
    <w:p w14:paraId="1D769545">
      <w:pPr>
        <w:jc w:val="center"/>
      </w:pPr>
    </w:p>
    <w:p w14:paraId="5806AE1B">
      <w:pPr>
        <w:jc w:val="center"/>
      </w:pPr>
    </w:p>
    <w:p w14:paraId="7E4CE1FD">
      <w:pPr>
        <w:jc w:val="cente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方正舒体"/>
    <w:panose1 w:val="02010601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1ZmM5M2NiYzViNjc4ZWU1ODNmMjFmYjE5YjlkNzIifQ=="/>
  </w:docVars>
  <w:rsids>
    <w:rsidRoot w:val="1308507D"/>
    <w:rsid w:val="0F2B62DD"/>
    <w:rsid w:val="1308507D"/>
    <w:rsid w:val="168622B2"/>
    <w:rsid w:val="415E2C8C"/>
    <w:rsid w:val="46E74DCD"/>
    <w:rsid w:val="50D852D8"/>
    <w:rsid w:val="58406388"/>
    <w:rsid w:val="5A8436D7"/>
    <w:rsid w:val="63F32986"/>
    <w:rsid w:val="74887407"/>
    <w:rsid w:val="78702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1175</Words>
  <Characters>1220</Characters>
  <Lines>0</Lines>
  <Paragraphs>0</Paragraphs>
  <TotalTime>0</TotalTime>
  <ScaleCrop>false</ScaleCrop>
  <LinksUpToDate>false</LinksUpToDate>
  <CharactersWithSpaces>1292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2022-07-25T00:53:00Z</dcterms:created>
  <dc:creator>文档存本地丢失不负责</dc:creator>
  <cp:lastModifiedBy>鲍雅如</cp:lastModifiedBy>
  <cp:lastPrinted>2022-07-25T02:39:00Z</cp:lastPrinted>
  <dcterms:modified xsi:type="dcterms:W3CDTF">2026-10-19T08:12:28Z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5BD0945321A247CB96BAE782435F1764_13</vt:lpwstr>
  </property>
  <property fmtid="{D5CDD505-2E9C-101B-9397-08002B2CF9AE}" pid="4" name="KSOTemplateDocerSaveRecord">
    <vt:lpwstr>eyJoZGlkIjoiNjRiMWNhNzcyYTNmZTkwZTQxMjQ2NTA4NDVmOGU4OGYiLCJ1c2VySWQiOiIzMDA5MzIwNzcifQ==</vt:lpwstr>
  </property>
</Properties>
</file>