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DEE2AA7">
      <w:pPr>
        <w:jc w:val="center"/>
        <w:rPr>
          <w:rFonts w:hint="eastAsia" w:ascii="方正小标宋简体" w:hAnsi="方正小标宋简体" w:eastAsia="方正小标宋简体" w:cs="方正小标宋简体"/>
          <w:sz w:val="44"/>
          <w:szCs w:val="44"/>
          <w:lang w:eastAsia="zh-CN"/>
        </w:rPr>
      </w:pPr>
      <w:r>
        <w:rPr>
          <w:rFonts w:hint="eastAsia" w:ascii="方正小标宋简体" w:hAnsi="方正小标宋简体" w:eastAsia="方正小标宋简体" w:cs="方正小标宋简体"/>
          <w:sz w:val="44"/>
          <w:szCs w:val="44"/>
          <w:lang w:val="en-US" w:eastAsia="zh-CN"/>
        </w:rPr>
        <w:t>郑州轻工业大学</w:t>
      </w:r>
      <w:r>
        <w:rPr>
          <w:rFonts w:hint="eastAsia" w:ascii="方正小标宋简体" w:hAnsi="方正小标宋简体" w:eastAsia="方正小标宋简体" w:cs="方正小标宋简体"/>
          <w:sz w:val="44"/>
          <w:szCs w:val="44"/>
          <w:lang w:eastAsia="zh-CN"/>
        </w:rPr>
        <w:t>科研成果赋权情况表</w:t>
      </w:r>
    </w:p>
    <w:p w14:paraId="7438CC1B">
      <w:pPr>
        <w:spacing w:before="156" w:beforeLines="50"/>
        <w:jc w:val="center"/>
        <w:rPr>
          <w:rFonts w:ascii="仿宋" w:hAnsi="仿宋" w:eastAsia="仿宋" w:cs="仿宋"/>
          <w:sz w:val="28"/>
          <w:szCs w:val="28"/>
        </w:rPr>
      </w:pPr>
      <w:r>
        <w:rPr>
          <w:rFonts w:hint="eastAsia" w:ascii="仿宋" w:hAnsi="仿宋" w:eastAsia="仿宋" w:cs="仿宋"/>
          <w:sz w:val="28"/>
          <w:szCs w:val="28"/>
        </w:rPr>
        <w:t xml:space="preserve">                                                                      时间：</w:t>
      </w:r>
      <w:r>
        <w:rPr>
          <w:rFonts w:hint="eastAsia" w:ascii="仿宋" w:hAnsi="仿宋" w:eastAsia="仿宋" w:cs="仿宋"/>
          <w:sz w:val="28"/>
          <w:szCs w:val="28"/>
          <w:lang w:val="en-US" w:eastAsia="zh-CN"/>
        </w:rPr>
        <w:t xml:space="preserve"> 2025 </w:t>
      </w:r>
      <w:r>
        <w:rPr>
          <w:rFonts w:hint="eastAsia" w:ascii="仿宋" w:hAnsi="仿宋" w:eastAsia="仿宋" w:cs="仿宋"/>
          <w:sz w:val="28"/>
          <w:szCs w:val="28"/>
        </w:rPr>
        <w:t>年</w:t>
      </w:r>
      <w:r>
        <w:rPr>
          <w:rFonts w:hint="eastAsia" w:ascii="仿宋" w:hAnsi="仿宋" w:eastAsia="仿宋" w:cs="仿宋"/>
          <w:sz w:val="28"/>
          <w:szCs w:val="28"/>
          <w:lang w:val="en-US" w:eastAsia="zh-CN"/>
        </w:rPr>
        <w:t>10</w:t>
      </w:r>
      <w:r>
        <w:rPr>
          <w:rFonts w:hint="eastAsia" w:ascii="仿宋" w:hAnsi="仿宋" w:eastAsia="仿宋" w:cs="仿宋"/>
          <w:sz w:val="28"/>
          <w:szCs w:val="28"/>
        </w:rPr>
        <w:t>月</w:t>
      </w:r>
      <w:r>
        <w:rPr>
          <w:rFonts w:hint="eastAsia" w:ascii="仿宋" w:hAnsi="仿宋" w:eastAsia="仿宋" w:cs="仿宋"/>
          <w:sz w:val="28"/>
          <w:szCs w:val="28"/>
          <w:lang w:val="en-US" w:eastAsia="zh-CN"/>
        </w:rPr>
        <w:t xml:space="preserve"> 31</w:t>
      </w:r>
      <w:bookmarkStart w:id="0" w:name="_GoBack"/>
      <w:bookmarkEnd w:id="0"/>
      <w:r>
        <w:rPr>
          <w:rFonts w:hint="eastAsia" w:ascii="仿宋" w:hAnsi="仿宋" w:eastAsia="仿宋" w:cs="仿宋"/>
          <w:sz w:val="28"/>
          <w:szCs w:val="28"/>
        </w:rPr>
        <w:t>日</w:t>
      </w:r>
    </w:p>
    <w:tbl>
      <w:tblPr>
        <w:tblStyle w:val="2"/>
        <w:tblpPr w:leftFromText="180" w:rightFromText="180" w:vertAnchor="text" w:horzAnchor="page" w:tblpX="1551" w:tblpY="435"/>
        <w:tblOverlap w:val="never"/>
        <w:tblW w:w="13837"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44"/>
        <w:gridCol w:w="2032"/>
        <w:gridCol w:w="3375"/>
        <w:gridCol w:w="1620"/>
        <w:gridCol w:w="1617"/>
        <w:gridCol w:w="1207"/>
        <w:gridCol w:w="1371"/>
        <w:gridCol w:w="1285"/>
        <w:gridCol w:w="786"/>
      </w:tblGrid>
      <w:tr w14:paraId="4EA1BA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6" w:hRule="atLeast"/>
        </w:trPr>
        <w:tc>
          <w:tcPr>
            <w:tcW w:w="544" w:type="dxa"/>
            <w:shd w:val="clear" w:color="auto" w:fill="auto"/>
            <w:noWrap w:val="0"/>
            <w:vAlign w:val="center"/>
          </w:tcPr>
          <w:p w14:paraId="0AC16E21">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序号</w:t>
            </w:r>
          </w:p>
        </w:tc>
        <w:tc>
          <w:tcPr>
            <w:tcW w:w="2032" w:type="dxa"/>
            <w:shd w:val="clear" w:color="auto" w:fill="auto"/>
            <w:noWrap w:val="0"/>
            <w:vAlign w:val="center"/>
          </w:tcPr>
          <w:p w14:paraId="41E1E2EA">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成果名称</w:t>
            </w:r>
          </w:p>
        </w:tc>
        <w:tc>
          <w:tcPr>
            <w:tcW w:w="3375" w:type="dxa"/>
            <w:shd w:val="clear" w:color="auto" w:fill="auto"/>
            <w:noWrap w:val="0"/>
            <w:vAlign w:val="center"/>
          </w:tcPr>
          <w:p w14:paraId="4C8D5573">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成果内容摘要</w:t>
            </w:r>
          </w:p>
        </w:tc>
        <w:tc>
          <w:tcPr>
            <w:tcW w:w="1620" w:type="dxa"/>
            <w:shd w:val="clear" w:color="auto" w:fill="auto"/>
            <w:noWrap w:val="0"/>
            <w:vAlign w:val="center"/>
          </w:tcPr>
          <w:p w14:paraId="3E829842">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成果完成人</w:t>
            </w:r>
          </w:p>
        </w:tc>
        <w:tc>
          <w:tcPr>
            <w:tcW w:w="1617" w:type="dxa"/>
            <w:shd w:val="clear" w:color="auto" w:fill="auto"/>
            <w:noWrap w:val="0"/>
            <w:vAlign w:val="center"/>
          </w:tcPr>
          <w:p w14:paraId="230A0FCE">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lang w:eastAsia="zh-CN"/>
              </w:rPr>
            </w:pPr>
            <w:r>
              <w:rPr>
                <w:rFonts w:hint="eastAsia" w:ascii="黑体" w:hAnsi="黑体" w:eastAsia="黑体" w:cs="黑体"/>
                <w:sz w:val="24"/>
                <w:lang w:eastAsia="zh-CN"/>
              </w:rPr>
              <w:t>赋权类型</w:t>
            </w:r>
          </w:p>
        </w:tc>
        <w:tc>
          <w:tcPr>
            <w:tcW w:w="1207" w:type="dxa"/>
            <w:shd w:val="clear" w:color="auto" w:fill="auto"/>
            <w:noWrap w:val="0"/>
            <w:vAlign w:val="center"/>
          </w:tcPr>
          <w:p w14:paraId="153ED72E">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转化</w:t>
            </w:r>
          </w:p>
          <w:p w14:paraId="1D497FA6">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方式</w:t>
            </w:r>
          </w:p>
        </w:tc>
        <w:tc>
          <w:tcPr>
            <w:tcW w:w="1371" w:type="dxa"/>
            <w:shd w:val="clear" w:color="auto" w:fill="auto"/>
            <w:noWrap w:val="0"/>
            <w:vAlign w:val="center"/>
          </w:tcPr>
          <w:p w14:paraId="77CE20A6">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交易金额（万</w:t>
            </w:r>
            <w:r>
              <w:rPr>
                <w:rFonts w:hint="eastAsia" w:ascii="黑体" w:hAnsi="黑体" w:eastAsia="黑体" w:cs="黑体"/>
                <w:sz w:val="24"/>
                <w:lang w:val="en-US" w:eastAsia="zh-CN"/>
              </w:rPr>
              <w:t>元</w:t>
            </w:r>
            <w:r>
              <w:rPr>
                <w:rFonts w:hint="eastAsia" w:ascii="黑体" w:hAnsi="黑体" w:eastAsia="黑体" w:cs="黑体"/>
                <w:sz w:val="24"/>
              </w:rPr>
              <w:t>）</w:t>
            </w:r>
          </w:p>
        </w:tc>
        <w:tc>
          <w:tcPr>
            <w:tcW w:w="1285" w:type="dxa"/>
            <w:shd w:val="clear" w:color="auto" w:fill="auto"/>
            <w:noWrap w:val="0"/>
            <w:vAlign w:val="center"/>
          </w:tcPr>
          <w:p w14:paraId="306B8B5B">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受让方</w:t>
            </w:r>
          </w:p>
        </w:tc>
        <w:tc>
          <w:tcPr>
            <w:tcW w:w="786" w:type="dxa"/>
            <w:shd w:val="clear" w:color="auto" w:fill="auto"/>
            <w:noWrap w:val="0"/>
            <w:vAlign w:val="center"/>
          </w:tcPr>
          <w:p w14:paraId="60E66ABD">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rPr>
            </w:pPr>
            <w:r>
              <w:rPr>
                <w:rFonts w:hint="eastAsia" w:ascii="黑体" w:hAnsi="黑体" w:eastAsia="黑体" w:cs="黑体"/>
                <w:sz w:val="24"/>
              </w:rPr>
              <w:t>备注</w:t>
            </w:r>
          </w:p>
        </w:tc>
      </w:tr>
      <w:tr w14:paraId="64227A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39" w:hRule="atLeast"/>
        </w:trPr>
        <w:tc>
          <w:tcPr>
            <w:tcW w:w="544" w:type="dxa"/>
            <w:shd w:val="clear" w:color="auto" w:fill="auto"/>
            <w:noWrap w:val="0"/>
            <w:vAlign w:val="center"/>
          </w:tcPr>
          <w:p w14:paraId="395F9341">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eastAsia" w:ascii="黑体" w:hAnsi="黑体" w:eastAsia="黑体" w:cs="黑体"/>
                <w:sz w:val="24"/>
                <w:lang w:val="en-US" w:eastAsia="zh-CN"/>
              </w:rPr>
            </w:pPr>
            <w:r>
              <w:rPr>
                <w:rFonts w:hint="eastAsia" w:ascii="黑体" w:hAnsi="黑体" w:eastAsia="黑体" w:cs="黑体"/>
                <w:sz w:val="24"/>
                <w:lang w:val="en-US" w:eastAsia="zh-CN"/>
              </w:rPr>
              <w:t>1</w:t>
            </w:r>
          </w:p>
        </w:tc>
        <w:tc>
          <w:tcPr>
            <w:tcW w:w="2032" w:type="dxa"/>
            <w:shd w:val="clear" w:color="auto" w:fill="auto"/>
            <w:noWrap w:val="0"/>
            <w:vAlign w:val="center"/>
          </w:tcPr>
          <w:p w14:paraId="0EF65C61">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一种电站氧化镁湿法烟气脱硫副产品回收利用方法</w:t>
            </w:r>
          </w:p>
        </w:tc>
        <w:tc>
          <w:tcPr>
            <w:tcW w:w="3375" w:type="dxa"/>
            <w:shd w:val="clear" w:color="auto" w:fill="auto"/>
            <w:noWrap w:val="0"/>
            <w:vAlign w:val="center"/>
          </w:tcPr>
          <w:p w14:paraId="011156D0">
            <w:pPr>
              <w:keepNext w:val="0"/>
              <w:keepLines w:val="0"/>
              <w:pageBreakBefore w:val="0"/>
              <w:widowControl w:val="0"/>
              <w:kinsoku/>
              <w:wordWrap/>
              <w:overflowPunct/>
              <w:topLinePunct w:val="0"/>
              <w:autoSpaceDE/>
              <w:autoSpaceDN/>
              <w:bidi w:val="0"/>
              <w:adjustRightInd/>
              <w:spacing w:before="78" w:line="340" w:lineRule="atLeast"/>
              <w:ind w:firstLine="440" w:firstLineChars="200"/>
              <w:jc w:val="left"/>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z w:val="22"/>
                <w:szCs w:val="22"/>
                <w:lang w:val="en-US" w:eastAsia="zh-CN"/>
              </w:rPr>
              <w:t>一种电站氧化镁湿法烟气脱硫副产品回收利用方法，旨在促进脱硫市场多样化，提供一种能产生高纯度氧化镁和高浓度二氧化硫焙烧产物的工艺，有效解决氧化镁湿法烟气脱硫副产品焙烧过程中出现的氧化镁纯度不高，二氧化硫浓度偏低，副产品进料系统堵塞，副产品在焙烧炉内因水分不能及时析出导致结团的问题，达到脱硫副产物能真正回收利用的目的。</w:t>
            </w:r>
          </w:p>
        </w:tc>
        <w:tc>
          <w:tcPr>
            <w:tcW w:w="1620" w:type="dxa"/>
            <w:shd w:val="clear" w:color="auto" w:fill="auto"/>
            <w:noWrap w:val="0"/>
            <w:vAlign w:val="center"/>
          </w:tcPr>
          <w:p w14:paraId="62097D3F">
            <w:pPr>
              <w:keepNext w:val="0"/>
              <w:keepLines w:val="0"/>
              <w:pageBreakBefore w:val="0"/>
              <w:widowControl w:val="0"/>
              <w:kinsoku/>
              <w:wordWrap/>
              <w:overflowPunct/>
              <w:topLinePunct w:val="0"/>
              <w:autoSpaceDE/>
              <w:autoSpaceDN/>
              <w:bidi w:val="0"/>
              <w:adjustRightInd/>
              <w:snapToGrid w:val="0"/>
              <w:spacing w:line="340" w:lineRule="atLeast"/>
              <w:jc w:val="left"/>
              <w:textAlignment w:val="auto"/>
              <w:rPr>
                <w:rFonts w:hint="eastAsia"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闫丽云、蒲江、秦恒洁、杜洪利、遆曙光、徐向红</w:t>
            </w:r>
          </w:p>
        </w:tc>
        <w:tc>
          <w:tcPr>
            <w:tcW w:w="1617" w:type="dxa"/>
            <w:shd w:val="clear" w:color="auto" w:fill="auto"/>
            <w:noWrap w:val="0"/>
            <w:vAlign w:val="center"/>
          </w:tcPr>
          <w:p w14:paraId="28967901">
            <w:pPr>
              <w:keepNext w:val="0"/>
              <w:keepLines w:val="0"/>
              <w:pageBreakBefore w:val="0"/>
              <w:widowControl w:val="0"/>
              <w:kinsoku/>
              <w:wordWrap/>
              <w:overflowPunct/>
              <w:topLinePunct w:val="0"/>
              <w:autoSpaceDE/>
              <w:autoSpaceDN/>
              <w:bidi w:val="0"/>
              <w:adjustRightInd/>
              <w:snapToGrid w:val="0"/>
              <w:spacing w:line="340" w:lineRule="atLeast"/>
              <w:jc w:val="center"/>
              <w:textAlignment w:val="auto"/>
              <w:rPr>
                <w:rFonts w:hint="default" w:ascii="仿宋" w:hAnsi="仿宋" w:eastAsia="仿宋" w:cs="仿宋"/>
                <w:snapToGrid w:val="0"/>
                <w:color w:val="000000"/>
                <w:spacing w:val="-4"/>
                <w:kern w:val="0"/>
                <w:sz w:val="22"/>
                <w:szCs w:val="22"/>
                <w:lang w:val="en-US" w:eastAsia="zh-CN" w:bidi="ar-SA"/>
              </w:rPr>
            </w:pPr>
            <w:r>
              <w:rPr>
                <w:rFonts w:hint="eastAsia" w:ascii="仿宋" w:hAnsi="仿宋" w:eastAsia="仿宋" w:cs="仿宋"/>
                <w:snapToGrid w:val="0"/>
                <w:color w:val="000000"/>
                <w:spacing w:val="-4"/>
                <w:kern w:val="0"/>
                <w:sz w:val="22"/>
                <w:szCs w:val="22"/>
                <w:lang w:val="en-US" w:eastAsia="zh-CN" w:bidi="ar-SA"/>
              </w:rPr>
              <w:t>长期使用权（10年）</w:t>
            </w:r>
          </w:p>
        </w:tc>
        <w:tc>
          <w:tcPr>
            <w:tcW w:w="1207" w:type="dxa"/>
            <w:shd w:val="clear" w:color="auto" w:fill="auto"/>
            <w:noWrap w:val="0"/>
            <w:vAlign w:val="center"/>
          </w:tcPr>
          <w:p w14:paraId="5C57DAEE">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default" w:ascii="仿宋" w:hAnsi="仿宋" w:eastAsia="仿宋" w:cs="仿宋"/>
                <w:sz w:val="22"/>
                <w:szCs w:val="22"/>
                <w:lang w:val="en-US" w:eastAsia="zh-CN"/>
              </w:rPr>
            </w:pPr>
            <w:r>
              <w:rPr>
                <w:rFonts w:hint="eastAsia" w:ascii="仿宋" w:hAnsi="仿宋" w:eastAsia="仿宋" w:cs="仿宋"/>
                <w:sz w:val="22"/>
                <w:szCs w:val="22"/>
                <w:lang w:val="en-US" w:eastAsia="zh-CN"/>
              </w:rPr>
              <w:t>技术许可</w:t>
            </w:r>
          </w:p>
          <w:p w14:paraId="06B44F58">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eastAsia" w:ascii="仿宋" w:hAnsi="仿宋" w:eastAsia="仿宋" w:cs="仿宋"/>
                <w:kern w:val="2"/>
                <w:sz w:val="22"/>
                <w:szCs w:val="22"/>
                <w:lang w:val="en-US" w:eastAsia="zh-CN" w:bidi="ar-SA"/>
              </w:rPr>
            </w:pPr>
          </w:p>
        </w:tc>
        <w:tc>
          <w:tcPr>
            <w:tcW w:w="1371" w:type="dxa"/>
            <w:shd w:val="clear" w:color="auto" w:fill="auto"/>
            <w:noWrap w:val="0"/>
            <w:vAlign w:val="center"/>
          </w:tcPr>
          <w:p w14:paraId="01FF8C7E">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default" w:ascii="仿宋" w:hAnsi="仿宋" w:eastAsia="仿宋" w:cs="仿宋"/>
                <w:kern w:val="2"/>
                <w:sz w:val="22"/>
                <w:szCs w:val="22"/>
                <w:lang w:val="en-US" w:eastAsia="zh-CN" w:bidi="ar-SA"/>
              </w:rPr>
            </w:pPr>
            <w:r>
              <w:rPr>
                <w:rFonts w:hint="eastAsia" w:ascii="仿宋" w:hAnsi="仿宋" w:eastAsia="仿宋" w:cs="仿宋"/>
                <w:kern w:val="2"/>
                <w:sz w:val="22"/>
                <w:szCs w:val="22"/>
                <w:lang w:val="en-US" w:eastAsia="zh-CN" w:bidi="ar-SA"/>
              </w:rPr>
              <w:t>3.3</w:t>
            </w:r>
          </w:p>
        </w:tc>
        <w:tc>
          <w:tcPr>
            <w:tcW w:w="1285" w:type="dxa"/>
            <w:shd w:val="clear" w:color="auto" w:fill="auto"/>
            <w:noWrap w:val="0"/>
            <w:vAlign w:val="center"/>
          </w:tcPr>
          <w:p w14:paraId="1DE67B32">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default" w:ascii="仿宋" w:hAnsi="仿宋" w:eastAsia="仿宋" w:cs="仿宋"/>
                <w:snapToGrid w:val="0"/>
                <w:color w:val="000000"/>
                <w:spacing w:val="-3"/>
                <w:kern w:val="0"/>
                <w:sz w:val="22"/>
                <w:szCs w:val="22"/>
                <w:lang w:val="en-US" w:eastAsia="zh-CN" w:bidi="ar-SA"/>
              </w:rPr>
            </w:pPr>
            <w:r>
              <w:rPr>
                <w:rFonts w:hint="eastAsia" w:ascii="仿宋" w:hAnsi="仿宋" w:eastAsia="仿宋" w:cs="仿宋"/>
                <w:snapToGrid w:val="0"/>
                <w:color w:val="000000"/>
                <w:spacing w:val="-3"/>
                <w:kern w:val="0"/>
                <w:sz w:val="22"/>
                <w:szCs w:val="22"/>
                <w:lang w:val="en-US" w:eastAsia="zh-CN" w:bidi="ar-SA"/>
              </w:rPr>
              <w:t>西安广诚能源技术有限公司</w:t>
            </w:r>
          </w:p>
        </w:tc>
        <w:tc>
          <w:tcPr>
            <w:tcW w:w="786" w:type="dxa"/>
            <w:shd w:val="clear" w:color="auto" w:fill="auto"/>
            <w:noWrap w:val="0"/>
            <w:vAlign w:val="center"/>
          </w:tcPr>
          <w:p w14:paraId="1368AF32">
            <w:pPr>
              <w:keepNext w:val="0"/>
              <w:keepLines w:val="0"/>
              <w:pageBreakBefore w:val="0"/>
              <w:widowControl w:val="0"/>
              <w:kinsoku/>
              <w:wordWrap/>
              <w:overflowPunct/>
              <w:topLinePunct w:val="0"/>
              <w:autoSpaceDE/>
              <w:autoSpaceDN/>
              <w:bidi w:val="0"/>
              <w:adjustRightInd/>
              <w:spacing w:line="340" w:lineRule="atLeast"/>
              <w:jc w:val="center"/>
              <w:textAlignment w:val="auto"/>
              <w:rPr>
                <w:rFonts w:hint="eastAsia" w:ascii="仿宋" w:hAnsi="仿宋" w:eastAsia="仿宋" w:cs="仿宋"/>
                <w:kern w:val="2"/>
                <w:sz w:val="22"/>
                <w:szCs w:val="22"/>
                <w:lang w:val="en-US" w:eastAsia="zh-CN" w:bidi="ar-SA"/>
              </w:rPr>
            </w:pPr>
          </w:p>
        </w:tc>
      </w:tr>
    </w:tbl>
    <w:p w14:paraId="4495CC7C"/>
    <w:p w14:paraId="2D38856B"/>
    <w:p w14:paraId="15E0C7B8"/>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altName w:val="Arial Unicode MS"/>
    <w:panose1 w:val="03000509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Q1ZmM5M2NiYzViNjc4ZWU1ODNmMjFmYjE5YjlkNzIifQ=="/>
  </w:docVars>
  <w:rsids>
    <w:rsidRoot w:val="1308507D"/>
    <w:rsid w:val="0CDF4D1D"/>
    <w:rsid w:val="0F2B62DD"/>
    <w:rsid w:val="104927F6"/>
    <w:rsid w:val="1308507D"/>
    <w:rsid w:val="29652DD4"/>
    <w:rsid w:val="415E2C8C"/>
    <w:rsid w:val="465C7502"/>
    <w:rsid w:val="50610B72"/>
    <w:rsid w:val="50D852D8"/>
    <w:rsid w:val="58406388"/>
    <w:rsid w:val="5E280424"/>
    <w:rsid w:val="63C16BA1"/>
    <w:rsid w:val="7870237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292</Words>
  <Characters>300</Characters>
  <Lines>0</Lines>
  <Paragraphs>0</Paragraphs>
  <TotalTime>10</TotalTime>
  <ScaleCrop>false</ScaleCrop>
  <LinksUpToDate>false</LinksUpToDate>
  <CharactersWithSpaces>373</CharactersWithSpaces>
  <Application>WPS Office_12.1.0.23125_F1E327BC-269C-435d-A152-05C5408002CA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2022-07-25T00:53:00Z</dcterms:created>
  <dc:creator>文档存本地丢失不负责</dc:creator>
  <cp:lastModifiedBy>鲍雅如</cp:lastModifiedBy>
  <cp:lastPrinted>2025-10-27T08:32:00Z</cp:lastPrinted>
  <dcterms:modified xsi:type="dcterms:W3CDTF">2025-10-31T03:34:58Z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2052-12.1.0.23125</vt:lpwstr>
  </property>
  <property fmtid="{D5CDD505-2E9C-101B-9397-08002B2CF9AE}" pid="3" name="ICV">
    <vt:lpwstr>04E34C3E7BF5406E98A6D3A2BBB78A85_13</vt:lpwstr>
  </property>
  <property fmtid="{D5CDD505-2E9C-101B-9397-08002B2CF9AE}" pid="4" name="KSOTemplateDocerSaveRecord">
    <vt:lpwstr>eyJoZGlkIjoiNjRiMWNhNzcyYTNmZTkwZTQxMjQ2NTA4NDVmOGU4OGYiLCJ1c2VySWQiOiIzMDA5MzIwNzcifQ==</vt:lpwstr>
  </property>
</Properties>
</file>