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9A73EB">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092C6870">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w:t>
      </w:r>
      <w:r>
        <w:rPr>
          <w:rFonts w:ascii="仿宋" w:hAnsi="仿宋" w:eastAsia="仿宋" w:cs="仿宋"/>
          <w:sz w:val="28"/>
          <w:szCs w:val="28"/>
        </w:rPr>
        <w:t>12</w:t>
      </w:r>
      <w:r>
        <w:rPr>
          <w:rFonts w:hint="eastAsia" w:ascii="仿宋" w:hAnsi="仿宋" w:eastAsia="仿宋" w:cs="仿宋"/>
          <w:sz w:val="28"/>
          <w:szCs w:val="28"/>
        </w:rPr>
        <w:t>月</w:t>
      </w:r>
      <w:r>
        <w:rPr>
          <w:rFonts w:ascii="仿宋" w:hAnsi="仿宋" w:eastAsia="仿宋" w:cs="仿宋"/>
          <w:sz w:val="28"/>
          <w:szCs w:val="28"/>
        </w:rPr>
        <w:t>1</w:t>
      </w:r>
      <w:r>
        <w:rPr>
          <w:rFonts w:hint="eastAsia" w:ascii="仿宋" w:hAnsi="仿宋" w:eastAsia="仿宋" w:cs="仿宋"/>
          <w:sz w:val="28"/>
          <w:szCs w:val="28"/>
          <w:lang w:val="en-US" w:eastAsia="zh-CN"/>
        </w:rPr>
        <w:t>1</w:t>
      </w:r>
      <w:r>
        <w:rPr>
          <w:rFonts w:hint="eastAsia" w:ascii="仿宋" w:hAnsi="仿宋" w:eastAsia="仿宋" w:cs="仿宋"/>
          <w:sz w:val="28"/>
          <w:szCs w:val="28"/>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993"/>
        <w:gridCol w:w="3465"/>
        <w:gridCol w:w="2325"/>
        <w:gridCol w:w="1275"/>
        <w:gridCol w:w="793"/>
        <w:gridCol w:w="1371"/>
        <w:gridCol w:w="1285"/>
        <w:gridCol w:w="786"/>
      </w:tblGrid>
      <w:tr w14:paraId="1A885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1C546E3C">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993" w:type="dxa"/>
            <w:shd w:val="clear" w:color="auto" w:fill="auto"/>
            <w:vAlign w:val="center"/>
          </w:tcPr>
          <w:p w14:paraId="5A52923C">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3465" w:type="dxa"/>
            <w:shd w:val="clear" w:color="auto" w:fill="auto"/>
            <w:vAlign w:val="center"/>
          </w:tcPr>
          <w:p w14:paraId="46A674FB">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2325" w:type="dxa"/>
            <w:shd w:val="clear" w:color="auto" w:fill="auto"/>
            <w:vAlign w:val="center"/>
          </w:tcPr>
          <w:p w14:paraId="62502951">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1275" w:type="dxa"/>
            <w:shd w:val="clear" w:color="auto" w:fill="auto"/>
            <w:vAlign w:val="center"/>
          </w:tcPr>
          <w:p w14:paraId="00178E1B">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793" w:type="dxa"/>
            <w:shd w:val="clear" w:color="auto" w:fill="auto"/>
            <w:vAlign w:val="center"/>
          </w:tcPr>
          <w:p w14:paraId="2282FB96">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01D66C5B">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371" w:type="dxa"/>
            <w:shd w:val="clear" w:color="auto" w:fill="auto"/>
            <w:vAlign w:val="center"/>
          </w:tcPr>
          <w:p w14:paraId="7704AEAD">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297745E2">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1841CA97">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533E0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F944111">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color w:val="333333"/>
                <w:kern w:val="0"/>
                <w:sz w:val="21"/>
                <w:szCs w:val="21"/>
                <w:shd w:val="clear" w:color="auto" w:fill="FFFFFF"/>
              </w:rPr>
            </w:pPr>
            <w:r>
              <w:rPr>
                <w:rFonts w:hint="eastAsia" w:ascii="仿宋" w:hAnsi="仿宋" w:eastAsia="仿宋" w:cs="仿宋"/>
                <w:color w:val="333333"/>
                <w:kern w:val="0"/>
                <w:sz w:val="21"/>
                <w:szCs w:val="21"/>
                <w:shd w:val="clear" w:color="auto" w:fill="FFFFFF"/>
              </w:rPr>
              <w:t>1</w:t>
            </w:r>
          </w:p>
        </w:tc>
        <w:tc>
          <w:tcPr>
            <w:tcW w:w="1993" w:type="dxa"/>
            <w:shd w:val="clear" w:color="auto" w:fill="auto"/>
            <w:vAlign w:val="center"/>
          </w:tcPr>
          <w:p w14:paraId="37E32D10">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一种同步串联启动低基质厌氧氨氧化工艺的方法</w:t>
            </w:r>
          </w:p>
        </w:tc>
        <w:tc>
          <w:tcPr>
            <w:tcW w:w="3465" w:type="dxa"/>
            <w:shd w:val="clear" w:color="auto" w:fill="auto"/>
            <w:vAlign w:val="center"/>
          </w:tcPr>
          <w:p w14:paraId="5B06BB9A">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一种同步串联快速启动低基质厌氧氨氧化工艺的方法属于城市污水处理领域。首先将火山岩填料与活性污泥混合后接种至两个反应器，在高氨氮高碱度的条件下浸泡；随后将运行方式改为连续式进出水，并联运行；先向其中一个反应器接种厌氧氨氧化污泥并降低碱度，实现厌氧氨氧化菌的富集；改为串联运行，即接另一滤柱预过滤，成功启动自养脱氮后，改变进水方向，实现另一滤柱自养脱氮的启动。改为并联运行，并降低氨氮浓度和HRT，最终成功启动两滤柱的低基质厌氧氨氧化工艺。本发明解决了厌氧氨氧化工艺仅能处理高氨氮污水、启动缓慢的难题，提供了可以同步快速启动低基质厌氧氨氧化工艺，为厌氧氨氧化工艺能够应用于低氨氮废水处理提供了方法。该研究属于民用范畴，不属于危害国家安全、国防安全、公共安全、经济安全、社会稳定等事关国家利益和重大社会公共利益的成果。</w:t>
            </w:r>
          </w:p>
        </w:tc>
        <w:tc>
          <w:tcPr>
            <w:tcW w:w="2325" w:type="dxa"/>
            <w:shd w:val="clear" w:color="auto" w:fill="auto"/>
            <w:vAlign w:val="center"/>
          </w:tcPr>
          <w:p w14:paraId="4D7145F4">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张肖静，陈召，马永鹏，周月，张楠，陈涛，傅浩强，赵思雨，张蓉蓉，张俊，张涵，彭钊雪，郑淑滑，翟含飞，刘洒</w:t>
            </w:r>
          </w:p>
        </w:tc>
        <w:tc>
          <w:tcPr>
            <w:tcW w:w="1275" w:type="dxa"/>
            <w:shd w:val="clear" w:color="auto" w:fill="auto"/>
            <w:vAlign w:val="center"/>
          </w:tcPr>
          <w:p w14:paraId="37B3DC0D">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长期使用权（10年）</w:t>
            </w:r>
          </w:p>
        </w:tc>
        <w:tc>
          <w:tcPr>
            <w:tcW w:w="793" w:type="dxa"/>
            <w:shd w:val="clear" w:color="auto" w:fill="auto"/>
            <w:vAlign w:val="center"/>
          </w:tcPr>
          <w:p w14:paraId="58BCCFC3">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技术许可</w:t>
            </w:r>
          </w:p>
        </w:tc>
        <w:tc>
          <w:tcPr>
            <w:tcW w:w="1371" w:type="dxa"/>
            <w:shd w:val="clear" w:color="auto" w:fill="auto"/>
            <w:vAlign w:val="center"/>
          </w:tcPr>
          <w:p w14:paraId="5FE49D8D">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53</w:t>
            </w:r>
          </w:p>
        </w:tc>
        <w:tc>
          <w:tcPr>
            <w:tcW w:w="1285" w:type="dxa"/>
            <w:shd w:val="clear" w:color="auto" w:fill="auto"/>
            <w:vAlign w:val="center"/>
          </w:tcPr>
          <w:p w14:paraId="1FAB9B8A">
            <w:pPr>
              <w:keepNext w:val="0"/>
              <w:keepLines w:val="0"/>
              <w:pageBreakBefore w:val="0"/>
              <w:widowControl/>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rPr>
            </w:pPr>
            <w:r>
              <w:rPr>
                <w:rFonts w:hint="eastAsia" w:ascii="仿宋" w:hAnsi="仿宋" w:eastAsia="仿宋" w:cs="仿宋"/>
                <w:bCs/>
                <w:sz w:val="21"/>
                <w:szCs w:val="21"/>
              </w:rPr>
              <w:t>河南企泰环境工程有限公司</w:t>
            </w:r>
          </w:p>
        </w:tc>
        <w:tc>
          <w:tcPr>
            <w:tcW w:w="786" w:type="dxa"/>
            <w:shd w:val="clear" w:color="auto" w:fill="auto"/>
            <w:vAlign w:val="center"/>
          </w:tcPr>
          <w:p w14:paraId="54B0CA85">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5CC6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5159ED72">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rPr>
            </w:pPr>
            <w:r>
              <w:rPr>
                <w:rFonts w:hint="eastAsia" w:ascii="仿宋" w:hAnsi="仿宋" w:eastAsia="仿宋" w:cs="仿宋"/>
                <w:sz w:val="21"/>
                <w:szCs w:val="21"/>
              </w:rPr>
              <w:t>2</w:t>
            </w:r>
          </w:p>
        </w:tc>
        <w:tc>
          <w:tcPr>
            <w:tcW w:w="1993" w:type="dxa"/>
            <w:shd w:val="clear" w:color="auto" w:fill="auto"/>
            <w:vAlign w:val="center"/>
          </w:tcPr>
          <w:p w14:paraId="2A185949">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一种污泥堆肥臭气脱除及后处理方法</w:t>
            </w:r>
          </w:p>
        </w:tc>
        <w:tc>
          <w:tcPr>
            <w:tcW w:w="3465" w:type="dxa"/>
            <w:shd w:val="clear" w:color="auto" w:fill="auto"/>
            <w:vAlign w:val="center"/>
          </w:tcPr>
          <w:p w14:paraId="23B39DCC">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本发明提供了一种污泥堆肥臭气脱除及后处理方法，包括如下步骤:S1、污泥堆肥仓产生的臭气采用盐酸溶液连续循环喷淋后得到污泥堆肥除臭废水;S2、在反应器中接种污泥，通入模拟废水，连续运行直至连续7d总氮去除率&gt;80%;S3、将模拟废水更换为污泥堆肥除臭废水，调整氨氮浓度，连续运行直至连续7d 总氮去除率&gt;80%;S4、保持 S3的氨氮流入速率不变，逐级降低添加的氨氮浓度，直至添加的氨氮浓度为0，连续运行直至连续7d总氮去除率&gt;80%。本发明操作简单，快速高效，运行成本低，效率高，曝气能耗低，无需外加有机碳源，有效解决了污水处理厂污泥堆肥过程的臭气排放及后处理问题。该研究成果属于民用范畴，不属于危害国家安全、国防安全、公共安全、经济安全、社会稳定等事关国家利益和重大社会公共利益的成果。</w:t>
            </w:r>
          </w:p>
        </w:tc>
        <w:tc>
          <w:tcPr>
            <w:tcW w:w="2325" w:type="dxa"/>
            <w:shd w:val="clear" w:color="auto" w:fill="auto"/>
            <w:vAlign w:val="center"/>
          </w:tcPr>
          <w:p w14:paraId="4DB0D070">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napToGrid w:val="0"/>
                <w:color w:val="000000"/>
                <w:spacing w:val="-4"/>
                <w:kern w:val="0"/>
                <w:sz w:val="21"/>
                <w:szCs w:val="21"/>
              </w:rPr>
              <w:t>张肖静，马冰冰,马永鹏,高爱华,马闯,张宏忠,王文肖,郭雨佳,李子斌</w:t>
            </w:r>
          </w:p>
        </w:tc>
        <w:tc>
          <w:tcPr>
            <w:tcW w:w="1275" w:type="dxa"/>
            <w:shd w:val="clear" w:color="auto" w:fill="auto"/>
            <w:vAlign w:val="center"/>
          </w:tcPr>
          <w:p w14:paraId="07E57E23">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长期使用权（10年）</w:t>
            </w:r>
          </w:p>
        </w:tc>
        <w:tc>
          <w:tcPr>
            <w:tcW w:w="793" w:type="dxa"/>
            <w:shd w:val="clear" w:color="auto" w:fill="auto"/>
            <w:vAlign w:val="center"/>
          </w:tcPr>
          <w:p w14:paraId="6C3D5A67">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技术许可</w:t>
            </w:r>
          </w:p>
        </w:tc>
        <w:tc>
          <w:tcPr>
            <w:tcW w:w="1371" w:type="dxa"/>
            <w:shd w:val="clear" w:color="auto" w:fill="auto"/>
            <w:vAlign w:val="center"/>
          </w:tcPr>
          <w:p w14:paraId="5C6DCD05">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33.5</w:t>
            </w:r>
          </w:p>
        </w:tc>
        <w:tc>
          <w:tcPr>
            <w:tcW w:w="1285" w:type="dxa"/>
            <w:shd w:val="clear" w:color="auto" w:fill="auto"/>
            <w:vAlign w:val="center"/>
          </w:tcPr>
          <w:p w14:paraId="21545718">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napToGrid w:val="0"/>
                <w:color w:val="000000"/>
                <w:spacing w:val="-4"/>
                <w:kern w:val="0"/>
                <w:sz w:val="21"/>
                <w:szCs w:val="21"/>
              </w:rPr>
            </w:pPr>
            <w:r>
              <w:rPr>
                <w:rFonts w:hint="eastAsia" w:ascii="仿宋" w:hAnsi="仿宋" w:eastAsia="仿宋" w:cs="仿宋"/>
                <w:sz w:val="21"/>
                <w:szCs w:val="21"/>
              </w:rPr>
              <w:t>河南企泰环境工程有限公司</w:t>
            </w:r>
          </w:p>
        </w:tc>
        <w:tc>
          <w:tcPr>
            <w:tcW w:w="786" w:type="dxa"/>
            <w:shd w:val="clear" w:color="auto" w:fill="auto"/>
            <w:vAlign w:val="center"/>
          </w:tcPr>
          <w:p w14:paraId="25802B00">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31CA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CA33185">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1993" w:type="dxa"/>
            <w:shd w:val="clear" w:color="auto" w:fill="auto"/>
            <w:vAlign w:val="center"/>
          </w:tcPr>
          <w:p w14:paraId="13AEF010">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rPr>
              <w:t>基于逆向循环的相变蓄冷汽车空调系统及其控制方法</w:t>
            </w:r>
          </w:p>
        </w:tc>
        <w:tc>
          <w:tcPr>
            <w:tcW w:w="3465" w:type="dxa"/>
            <w:shd w:val="clear" w:color="auto" w:fill="auto"/>
            <w:vAlign w:val="center"/>
          </w:tcPr>
          <w:p w14:paraId="04823B42">
            <w:pPr>
              <w:keepNext w:val="0"/>
              <w:keepLines w:val="0"/>
              <w:pageBreakBefore w:val="0"/>
              <w:kinsoku/>
              <w:overflowPunct/>
              <w:topLinePunct w:val="0"/>
              <w:autoSpaceDE/>
              <w:autoSpaceDN/>
              <w:bidi w:val="0"/>
              <w:adjustRightInd/>
              <w:spacing w:before="78" w:line="640" w:lineRule="exact"/>
              <w:ind w:firstLine="420" w:firstLineChars="200"/>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rPr>
              <w:t>本发明提出一种基于逆向循环的相变蓄冷汽车空调系统及其控制方法，用以解决汽车在制冷时能耗量大、汽车加速或减速过程中制冷不稳定或制冷不连续以及汽车停止运行时不能进行制冷、汽车上车前车内温度过高等技术问题，实现汽车停止运行时可利用其内部储存的制冷量提前将车内温度调节好，以提高夏季车内温度舒适度。</w:t>
            </w:r>
          </w:p>
        </w:tc>
        <w:tc>
          <w:tcPr>
            <w:tcW w:w="2325" w:type="dxa"/>
            <w:shd w:val="clear" w:color="auto" w:fill="auto"/>
            <w:vAlign w:val="center"/>
          </w:tcPr>
          <w:p w14:paraId="78FE604D">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333333"/>
                <w:kern w:val="0"/>
                <w:sz w:val="21"/>
                <w:szCs w:val="21"/>
              </w:rPr>
              <w:t>张芳芳；余波；程传晓；何永宁；张羽翔；张永海；金听祥；王涛；李华杰</w:t>
            </w:r>
          </w:p>
        </w:tc>
        <w:tc>
          <w:tcPr>
            <w:tcW w:w="1275" w:type="dxa"/>
            <w:shd w:val="clear" w:color="auto" w:fill="auto"/>
            <w:vAlign w:val="center"/>
          </w:tcPr>
          <w:p w14:paraId="65355E0D">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000000" w:themeColor="text1"/>
                <w:sz w:val="21"/>
                <w:szCs w:val="21"/>
                <w14:textFill>
                  <w14:solidFill>
                    <w14:schemeClr w14:val="tx1"/>
                  </w14:solidFill>
                </w14:textFill>
              </w:rPr>
              <w:t>长期使用权（10年）</w:t>
            </w:r>
          </w:p>
        </w:tc>
        <w:tc>
          <w:tcPr>
            <w:tcW w:w="793" w:type="dxa"/>
            <w:shd w:val="clear" w:color="auto" w:fill="auto"/>
            <w:vAlign w:val="center"/>
          </w:tcPr>
          <w:p w14:paraId="4729F6B6">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技术许可</w:t>
            </w:r>
          </w:p>
        </w:tc>
        <w:tc>
          <w:tcPr>
            <w:tcW w:w="1371" w:type="dxa"/>
            <w:shd w:val="clear" w:color="auto" w:fill="auto"/>
            <w:vAlign w:val="center"/>
          </w:tcPr>
          <w:p w14:paraId="4B205D63">
            <w:pPr>
              <w:keepNext w:val="0"/>
              <w:keepLines w:val="0"/>
              <w:pageBreakBefore w:val="0"/>
              <w:widowControl/>
              <w:kinsoku/>
              <w:wordWrap w:val="0"/>
              <w:overflowPunct/>
              <w:topLinePunct w:val="0"/>
              <w:autoSpaceDE/>
              <w:autoSpaceDN/>
              <w:bidi w:val="0"/>
              <w:adjustRightInd/>
              <w:spacing w:line="640" w:lineRule="exact"/>
              <w:jc w:val="center"/>
              <w:textAlignment w:val="center"/>
              <w:rPr>
                <w:rFonts w:hint="eastAsia" w:ascii="仿宋" w:hAnsi="仿宋" w:eastAsia="仿宋" w:cs="仿宋"/>
                <w:color w:val="333333"/>
                <w:kern w:val="0"/>
                <w:sz w:val="21"/>
                <w:szCs w:val="21"/>
                <w:lang w:val="en-US" w:eastAsia="zh-CN"/>
              </w:rPr>
            </w:pPr>
            <w:r>
              <w:rPr>
                <w:rFonts w:hint="eastAsia" w:ascii="仿宋" w:hAnsi="仿宋" w:eastAsia="仿宋" w:cs="仿宋"/>
                <w:color w:val="333333"/>
                <w:kern w:val="0"/>
                <w:sz w:val="21"/>
                <w:szCs w:val="21"/>
              </w:rPr>
              <w:t>3</w:t>
            </w:r>
            <w:r>
              <w:rPr>
                <w:rFonts w:hint="eastAsia" w:ascii="仿宋" w:hAnsi="仿宋" w:eastAsia="仿宋" w:cs="仿宋"/>
                <w:color w:val="333333"/>
                <w:kern w:val="0"/>
                <w:sz w:val="21"/>
                <w:szCs w:val="21"/>
                <w:lang w:val="en-US" w:eastAsia="zh-CN"/>
              </w:rPr>
              <w:t>.1</w:t>
            </w:r>
          </w:p>
          <w:p w14:paraId="1936EF78">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c>
          <w:tcPr>
            <w:tcW w:w="1285" w:type="dxa"/>
            <w:shd w:val="clear" w:color="auto" w:fill="auto"/>
            <w:vAlign w:val="center"/>
          </w:tcPr>
          <w:p w14:paraId="1CAC00B3">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z w:val="21"/>
                <w:szCs w:val="21"/>
              </w:rPr>
              <w:t>河南东微电子材料有限公司</w:t>
            </w:r>
          </w:p>
        </w:tc>
        <w:tc>
          <w:tcPr>
            <w:tcW w:w="786" w:type="dxa"/>
            <w:shd w:val="clear" w:color="auto" w:fill="auto"/>
            <w:vAlign w:val="center"/>
          </w:tcPr>
          <w:p w14:paraId="1200D8F6">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5D615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54BE573E">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1993" w:type="dxa"/>
            <w:shd w:val="clear" w:color="auto" w:fill="auto"/>
            <w:vAlign w:val="center"/>
          </w:tcPr>
          <w:p w14:paraId="6C1ADEFE">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一种在材料表面生成水凝胶层的方法</w:t>
            </w:r>
          </w:p>
        </w:tc>
        <w:tc>
          <w:tcPr>
            <w:tcW w:w="3465" w:type="dxa"/>
            <w:shd w:val="clear" w:color="auto" w:fill="auto"/>
            <w:vAlign w:val="center"/>
          </w:tcPr>
          <w:p w14:paraId="73339342">
            <w:pPr>
              <w:keepNext w:val="0"/>
              <w:keepLines w:val="0"/>
              <w:pageBreakBefore w:val="0"/>
              <w:kinsoku/>
              <w:overflowPunct/>
              <w:topLinePunct w:val="0"/>
              <w:autoSpaceDE/>
              <w:autoSpaceDN/>
              <w:bidi w:val="0"/>
              <w:adjustRightInd/>
              <w:spacing w:before="78"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发明涉及一种在材料表面生成水凝胶层的方法，属于材料表面改性技术领域。该方法具体为：(1)在材料表面涂覆一层有机硅氧烷涂层，所述有机硅氧烷涂层主要为含Si‑N的有机硅氧烷；(2)配制含有丙烯酰胺类单体或丙烯酸、过硫酸盐、交联剂和水的水凝胶前体溶液；材料表面的所述有机硅氧烷涂层在水凝胶前体溶液存在的条件下，所述有机硅氧烷涂层中的所述含Si‑N的有机硅氧烷与过硫酸盐发生氧化还原反应生成氮自由基，引发丙烯酰胺类单体或丙烯酸聚合，形成水凝胶层。本发明使用一种新型的含Si‑N的有机硅氧烷/过硫酸盐氧化还原引发体系，使丙烯酰胺类单体或丙烯酸在常温下发生聚合，与材料表面的适配性较高。</w:t>
            </w:r>
          </w:p>
        </w:tc>
        <w:tc>
          <w:tcPr>
            <w:tcW w:w="2325" w:type="dxa"/>
            <w:shd w:val="clear" w:color="auto" w:fill="auto"/>
            <w:vAlign w:val="center"/>
          </w:tcPr>
          <w:p w14:paraId="00C1E03C">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陈荣源，张永生，韩琳，张忠厚，潘其营，王杰，黄小杰，张涛</w:t>
            </w:r>
          </w:p>
        </w:tc>
        <w:tc>
          <w:tcPr>
            <w:tcW w:w="1275" w:type="dxa"/>
            <w:shd w:val="clear" w:color="auto" w:fill="auto"/>
            <w:vAlign w:val="center"/>
          </w:tcPr>
          <w:p w14:paraId="3EE8336C">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长期使用权（1年）</w:t>
            </w:r>
          </w:p>
        </w:tc>
        <w:tc>
          <w:tcPr>
            <w:tcW w:w="793" w:type="dxa"/>
            <w:shd w:val="clear" w:color="auto" w:fill="auto"/>
            <w:vAlign w:val="center"/>
          </w:tcPr>
          <w:p w14:paraId="1B8083D5">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技术许可</w:t>
            </w:r>
          </w:p>
          <w:p w14:paraId="1125FE53">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c>
          <w:tcPr>
            <w:tcW w:w="1371" w:type="dxa"/>
            <w:shd w:val="clear" w:color="auto" w:fill="auto"/>
            <w:vAlign w:val="center"/>
          </w:tcPr>
          <w:p w14:paraId="130B7CA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3.2</w:t>
            </w:r>
          </w:p>
        </w:tc>
        <w:tc>
          <w:tcPr>
            <w:tcW w:w="1285" w:type="dxa"/>
            <w:shd w:val="clear" w:color="auto" w:fill="auto"/>
            <w:vAlign w:val="center"/>
          </w:tcPr>
          <w:p w14:paraId="3606F13D">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河南普力特克新材料有限公司</w:t>
            </w:r>
          </w:p>
        </w:tc>
        <w:tc>
          <w:tcPr>
            <w:tcW w:w="786" w:type="dxa"/>
            <w:shd w:val="clear" w:color="auto" w:fill="auto"/>
            <w:vAlign w:val="center"/>
          </w:tcPr>
          <w:p w14:paraId="56A46CCB">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1AEF2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6FC140A2">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1993" w:type="dxa"/>
            <w:shd w:val="clear" w:color="auto" w:fill="auto"/>
            <w:vAlign w:val="center"/>
          </w:tcPr>
          <w:p w14:paraId="00AE493D">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一种基于氧化还原反应引发的水凝胶</w:t>
            </w:r>
          </w:p>
        </w:tc>
        <w:tc>
          <w:tcPr>
            <w:tcW w:w="3465" w:type="dxa"/>
            <w:shd w:val="clear" w:color="auto" w:fill="auto"/>
            <w:vAlign w:val="center"/>
          </w:tcPr>
          <w:p w14:paraId="7E31C011">
            <w:pPr>
              <w:keepNext w:val="0"/>
              <w:keepLines w:val="0"/>
              <w:pageBreakBefore w:val="0"/>
              <w:kinsoku/>
              <w:overflowPunct/>
              <w:topLinePunct w:val="0"/>
              <w:autoSpaceDE/>
              <w:autoSpaceDN/>
              <w:bidi w:val="0"/>
              <w:adjustRightInd/>
              <w:spacing w:before="78"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发明涉及一种基于氧化还原反应引发的水凝胶，属于有机高分子化合物领域。该水凝胶由含Si‑N键的有机硅氧烷/过硫酸盐氧化还原体系引发丙烯酰胺类单体或丙烯酸聚合得到；所述含Si‑N键的有机硅氧烷还作为所述丙烯酰胺类单体或丙烯酸聚合的交联剂。本发明中含Si‑N键的有机硅氧烷和过硫酸盐构成新型氧化还原体系，使不饱和单体发生聚合，其中有机硅氧烷引发不饱和单体(例如丙烯酰胺类单体或丙烯酸)聚合后，通过所含多个Si‑O的水解交联，将丙烯酰胺链连接为网络，因此还可以起到交联剂的作用。此外，水凝胶中的有机硅链段因为疏水相互作用聚集在一起，使得材料具有超延展性、高度可拉伸性及温敏性。</w:t>
            </w:r>
          </w:p>
        </w:tc>
        <w:tc>
          <w:tcPr>
            <w:tcW w:w="2325" w:type="dxa"/>
            <w:shd w:val="clear" w:color="auto" w:fill="auto"/>
            <w:vAlign w:val="center"/>
          </w:tcPr>
          <w:p w14:paraId="20ADB953">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韩琳，张永生，陈荣源，张忠厚，陶林娜，潘其营，赵凌锋，陈浩，莘子如，闫靖南</w:t>
            </w:r>
          </w:p>
        </w:tc>
        <w:tc>
          <w:tcPr>
            <w:tcW w:w="1275" w:type="dxa"/>
            <w:shd w:val="clear" w:color="auto" w:fill="auto"/>
            <w:vAlign w:val="center"/>
          </w:tcPr>
          <w:p w14:paraId="0C680CA2">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长期使用权（1年）</w:t>
            </w:r>
          </w:p>
        </w:tc>
        <w:tc>
          <w:tcPr>
            <w:tcW w:w="793" w:type="dxa"/>
            <w:shd w:val="clear" w:color="auto" w:fill="auto"/>
            <w:vAlign w:val="center"/>
          </w:tcPr>
          <w:p w14:paraId="5F4E6022">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技术许可</w:t>
            </w:r>
          </w:p>
          <w:p w14:paraId="535B6C5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c>
          <w:tcPr>
            <w:tcW w:w="1371" w:type="dxa"/>
            <w:shd w:val="clear" w:color="auto" w:fill="auto"/>
            <w:vAlign w:val="center"/>
          </w:tcPr>
          <w:p w14:paraId="7ED90847">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3.2</w:t>
            </w:r>
          </w:p>
        </w:tc>
        <w:tc>
          <w:tcPr>
            <w:tcW w:w="1285" w:type="dxa"/>
            <w:shd w:val="clear" w:color="auto" w:fill="auto"/>
            <w:vAlign w:val="center"/>
          </w:tcPr>
          <w:p w14:paraId="3686957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河南普力特克新材料有限公司</w:t>
            </w:r>
          </w:p>
        </w:tc>
        <w:tc>
          <w:tcPr>
            <w:tcW w:w="786" w:type="dxa"/>
            <w:shd w:val="clear" w:color="auto" w:fill="auto"/>
            <w:vAlign w:val="center"/>
          </w:tcPr>
          <w:p w14:paraId="53C54F66">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51149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221BD632">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1993" w:type="dxa"/>
            <w:shd w:val="clear" w:color="auto" w:fill="auto"/>
            <w:vAlign w:val="center"/>
          </w:tcPr>
          <w:p w14:paraId="2C5890C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lang w:val="en-US" w:eastAsia="zh-CN" w:bidi="ar-SA"/>
              </w:rPr>
              <w:t>面向非规则访问的自适应地址相关预取方法</w:t>
            </w:r>
          </w:p>
        </w:tc>
        <w:tc>
          <w:tcPr>
            <w:tcW w:w="3465" w:type="dxa"/>
            <w:shd w:val="clear" w:color="auto" w:fill="auto"/>
            <w:vAlign w:val="center"/>
          </w:tcPr>
          <w:p w14:paraId="14AC7EB6">
            <w:pPr>
              <w:keepNext w:val="0"/>
              <w:keepLines w:val="0"/>
              <w:pageBreakBefore w:val="0"/>
              <w:widowControl w:val="0"/>
              <w:kinsoku/>
              <w:wordWrap/>
              <w:overflowPunct/>
              <w:topLinePunct w:val="0"/>
              <w:autoSpaceDE/>
              <w:autoSpaceDN/>
              <w:bidi w:val="0"/>
              <w:adjustRightInd/>
              <w:spacing w:before="78" w:line="640" w:lineRule="exact"/>
              <w:ind w:firstLine="448" w:firstLineChars="200"/>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pacing w:val="7"/>
                <w:sz w:val="21"/>
                <w:szCs w:val="21"/>
              </w:rPr>
              <w:t>本发明公开了面向非规则访问的自适应地址相关预取方法，包括以下步骤：训练：将每个时序流中有关联关系的物理内存地址转换为连续的结构化地址；地址映射：使用两个片上缓存来保存每个时序流中物理地址和结构地址之间的映射关系，一个缓存存储从物理地址空间到结构地址空间的映射关系，另一个缓存存储从结构地址空间到物理地址空间的映射关系；流预测：使用一个流预测器存储每个时序流的结构化起始地址、信心计数器的值以及当前预取深度。本发明在非规则数据访问发生频繁缺失时，可以结合PC本地化和地址相关性，有效地预取时序流。该方法的训练和预测能量消耗较低，并具有较好的灵活性、准确性和实用性</w:t>
            </w:r>
            <w:r>
              <w:rPr>
                <w:rFonts w:hint="eastAsia" w:ascii="仿宋" w:hAnsi="仿宋" w:eastAsia="仿宋" w:cs="仿宋"/>
                <w:spacing w:val="7"/>
                <w:sz w:val="21"/>
                <w:szCs w:val="21"/>
                <w:lang w:eastAsia="zh-CN"/>
              </w:rPr>
              <w:t>。</w:t>
            </w:r>
          </w:p>
        </w:tc>
        <w:tc>
          <w:tcPr>
            <w:tcW w:w="2325" w:type="dxa"/>
            <w:shd w:val="clear" w:color="auto" w:fill="auto"/>
            <w:vAlign w:val="center"/>
          </w:tcPr>
          <w:p w14:paraId="77ACE29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lang w:eastAsia="zh-CN"/>
              </w:rPr>
              <w:t>黄艳</w:t>
            </w:r>
            <w:r>
              <w:rPr>
                <w:rFonts w:hint="eastAsia" w:ascii="仿宋" w:hAnsi="仿宋" w:eastAsia="仿宋" w:cs="仿宋"/>
                <w:sz w:val="21"/>
                <w:szCs w:val="21"/>
                <w:lang w:val="en-US" w:eastAsia="zh-CN"/>
              </w:rPr>
              <w:t>、朱少本</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朱少林</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朱会东</w:t>
            </w:r>
            <w:r>
              <w:rPr>
                <w:rFonts w:hint="eastAsia" w:ascii="仿宋" w:hAnsi="仿宋" w:eastAsia="仿宋" w:cs="仿宋"/>
                <w:sz w:val="21"/>
                <w:szCs w:val="21"/>
                <w:lang w:eastAsia="zh-CN"/>
              </w:rPr>
              <w:t>、</w:t>
            </w:r>
            <w:r>
              <w:rPr>
                <w:rFonts w:hint="eastAsia" w:ascii="仿宋" w:hAnsi="仿宋" w:eastAsia="仿宋" w:cs="仿宋"/>
                <w:sz w:val="21"/>
                <w:szCs w:val="21"/>
                <w:lang w:val="en-US" w:eastAsia="zh-CN"/>
              </w:rPr>
              <w:t>范乃梅</w:t>
            </w:r>
          </w:p>
        </w:tc>
        <w:tc>
          <w:tcPr>
            <w:tcW w:w="1275" w:type="dxa"/>
            <w:shd w:val="clear" w:color="auto" w:fill="auto"/>
            <w:vAlign w:val="center"/>
          </w:tcPr>
          <w:p w14:paraId="6E76F45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lang w:val="en-US" w:eastAsia="zh-CN" w:bidi="ar-SA"/>
              </w:rPr>
              <w:t>长期使用权（10年）、</w:t>
            </w:r>
            <w:r>
              <w:rPr>
                <w:rFonts w:hint="eastAsia" w:ascii="仿宋" w:hAnsi="仿宋" w:eastAsia="仿宋" w:cs="仿宋"/>
                <w:snapToGrid w:val="0"/>
                <w:color w:val="000000" w:themeColor="text1"/>
                <w:spacing w:val="-4"/>
                <w:kern w:val="0"/>
                <w:sz w:val="21"/>
                <w:szCs w:val="21"/>
                <w:lang w:val="en-US" w:eastAsia="zh-CN" w:bidi="ar-SA"/>
                <w14:textFill>
                  <w14:solidFill>
                    <w14:schemeClr w14:val="tx1"/>
                  </w14:solidFill>
                </w14:textFill>
              </w:rPr>
              <w:t>所有权（学校10%，成果完成团队90%）</w:t>
            </w:r>
          </w:p>
        </w:tc>
        <w:tc>
          <w:tcPr>
            <w:tcW w:w="793" w:type="dxa"/>
            <w:shd w:val="clear" w:color="auto" w:fill="auto"/>
            <w:vAlign w:val="center"/>
          </w:tcPr>
          <w:p w14:paraId="4AD546E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技术许可</w:t>
            </w:r>
          </w:p>
          <w:p w14:paraId="7390DC0D">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1"/>
                <w:szCs w:val="21"/>
                <w:lang w:val="en-US" w:eastAsia="zh-CN" w:bidi="ar-SA"/>
              </w:rPr>
            </w:pPr>
          </w:p>
        </w:tc>
        <w:tc>
          <w:tcPr>
            <w:tcW w:w="1371" w:type="dxa"/>
            <w:shd w:val="clear" w:color="auto" w:fill="auto"/>
            <w:vAlign w:val="center"/>
          </w:tcPr>
          <w:p w14:paraId="322FACE7">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3.5</w:t>
            </w:r>
          </w:p>
        </w:tc>
        <w:tc>
          <w:tcPr>
            <w:tcW w:w="1285" w:type="dxa"/>
            <w:shd w:val="clear" w:color="auto" w:fill="auto"/>
            <w:vAlign w:val="center"/>
          </w:tcPr>
          <w:p w14:paraId="1C1C27DA">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z w:val="21"/>
                <w:szCs w:val="21"/>
              </w:rPr>
              <w:t>河南费奇电子科技有限公司</w:t>
            </w:r>
          </w:p>
        </w:tc>
        <w:tc>
          <w:tcPr>
            <w:tcW w:w="786" w:type="dxa"/>
            <w:shd w:val="clear" w:color="auto" w:fill="auto"/>
            <w:vAlign w:val="center"/>
          </w:tcPr>
          <w:p w14:paraId="00AEEEB8">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tc>
      </w:tr>
      <w:tr w14:paraId="1EC67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9AB4E2A">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1993" w:type="dxa"/>
            <w:shd w:val="clear" w:color="auto" w:fill="auto"/>
            <w:vAlign w:val="center"/>
          </w:tcPr>
          <w:p w14:paraId="26A50B86">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一种具有散热功能的大孔水凝胶及其应用</w:t>
            </w:r>
          </w:p>
        </w:tc>
        <w:tc>
          <w:tcPr>
            <w:tcW w:w="3465" w:type="dxa"/>
            <w:shd w:val="clear" w:color="auto" w:fill="auto"/>
            <w:vAlign w:val="center"/>
          </w:tcPr>
          <w:p w14:paraId="4BC4350E">
            <w:pPr>
              <w:keepNext w:val="0"/>
              <w:keepLines w:val="0"/>
              <w:pageBreakBefore w:val="0"/>
              <w:kinsoku/>
              <w:overflowPunct/>
              <w:topLinePunct w:val="0"/>
              <w:autoSpaceDE/>
              <w:autoSpaceDN/>
              <w:bidi w:val="0"/>
              <w:adjustRightInd/>
              <w:spacing w:before="78"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发明涉及一种具有散热功能的大孔水凝胶及其应用，属于散热材料技术领域。本发明的目的在于提供一种具有散热功能的大孔水凝胶，可以解决目前制备具有散热功能的大孔水凝胶时存在工艺复杂，易产生废弃溶剂的问题。本发明的大孔水凝胶的制备方法，包括以下步骤：将有机硅化合物、水溶性聚合单体、引发剂和水混合，水溶性聚合单体聚合交联的同时释放气体形成发泡体系，得到大孔水凝胶；本发明的大孔水凝胶的制备方法，利用硅氮键在水溶液中容易水解以及发生有机硅的重分配反应而释放出氨气的特点，采用一锅法制备发泡水凝胶，操作简便，且不产生剩余溶剂等，并且可通过调节有机硅化合物的用量调节水凝胶中泡孔的致密程度。另外，有机硅化合物中的硅氧烷可以水解缩合，进一步提高水凝胶的强度和韧性。</w:t>
            </w:r>
          </w:p>
        </w:tc>
        <w:tc>
          <w:tcPr>
            <w:tcW w:w="2325" w:type="dxa"/>
            <w:shd w:val="clear" w:color="auto" w:fill="auto"/>
            <w:vAlign w:val="center"/>
          </w:tcPr>
          <w:p w14:paraId="63D3E64E">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胡张保，韩琳，陈荣源，张忠厚，胡安雨，潘其营，赵凌锋，王金雨，姬诗雨，曹明霞</w:t>
            </w:r>
          </w:p>
        </w:tc>
        <w:tc>
          <w:tcPr>
            <w:tcW w:w="1275" w:type="dxa"/>
            <w:shd w:val="clear" w:color="auto" w:fill="auto"/>
            <w:vAlign w:val="center"/>
          </w:tcPr>
          <w:p w14:paraId="3007E6FC">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长期使用权（10年）</w:t>
            </w:r>
          </w:p>
        </w:tc>
        <w:tc>
          <w:tcPr>
            <w:tcW w:w="793" w:type="dxa"/>
            <w:shd w:val="clear" w:color="auto" w:fill="auto"/>
            <w:vAlign w:val="center"/>
          </w:tcPr>
          <w:p w14:paraId="0EE11C12">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技术许可</w:t>
            </w:r>
          </w:p>
          <w:p w14:paraId="2551A054">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c>
          <w:tcPr>
            <w:tcW w:w="1371" w:type="dxa"/>
            <w:shd w:val="clear" w:color="auto" w:fill="auto"/>
            <w:vAlign w:val="center"/>
          </w:tcPr>
          <w:p w14:paraId="07C07CA5">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3.2</w:t>
            </w:r>
          </w:p>
        </w:tc>
        <w:tc>
          <w:tcPr>
            <w:tcW w:w="1285" w:type="dxa"/>
            <w:shd w:val="clear" w:color="auto" w:fill="auto"/>
            <w:vAlign w:val="center"/>
          </w:tcPr>
          <w:p w14:paraId="130F148F">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河南普力特克新材料有限公司</w:t>
            </w:r>
          </w:p>
        </w:tc>
        <w:tc>
          <w:tcPr>
            <w:tcW w:w="786" w:type="dxa"/>
            <w:shd w:val="clear" w:color="auto" w:fill="auto"/>
            <w:vAlign w:val="center"/>
          </w:tcPr>
          <w:p w14:paraId="7C94A57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r>
      <w:tr w14:paraId="61F66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45BC8F23">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p>
          <w:p w14:paraId="47627FC5">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p>
          <w:p w14:paraId="558CD788">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8</w:t>
            </w:r>
          </w:p>
        </w:tc>
        <w:tc>
          <w:tcPr>
            <w:tcW w:w="0" w:type="auto"/>
            <w:shd w:val="clear" w:color="auto" w:fill="auto"/>
            <w:vAlign w:val="center"/>
          </w:tcPr>
          <w:p w14:paraId="6AFA0BA4">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一种强化传热型太阳能平板集热器</w:t>
            </w:r>
          </w:p>
        </w:tc>
        <w:tc>
          <w:tcPr>
            <w:tcW w:w="0" w:type="auto"/>
            <w:shd w:val="clear" w:color="auto" w:fill="auto"/>
            <w:vAlign w:val="center"/>
          </w:tcPr>
          <w:p w14:paraId="1D228AB0">
            <w:pPr>
              <w:keepNext w:val="0"/>
              <w:keepLines w:val="0"/>
              <w:pageBreakBefore w:val="0"/>
              <w:kinsoku/>
              <w:overflowPunct/>
              <w:topLinePunct w:val="0"/>
              <w:autoSpaceDE/>
              <w:autoSpaceDN/>
              <w:bidi w:val="0"/>
              <w:adjustRightInd/>
              <w:spacing w:before="78"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lang w:val="en-US" w:eastAsia="zh-CN"/>
              </w:rPr>
              <w:t>本一种强化传热型太阳能平板集热器，涉及一种太阳能平板集热器。本发明解决了现有的平板型太阳能集热器吸热体无法高效将太阳能传递到流道中工作介质的问题。本发明的多组圆管平行设置，且相邻两组圆管之间通过一个吸热板连接；保温材料安装在背板上，吸热体安装在保温材料上，每组圆管内均安装有一个扰流装置，保温材料的两侧高于吸热体的上表面，透明盖板盖装在保温材料上，边框安装在透明盖板和背板上；每个扰流装置包括两个齿盘、至少一个扭板和多个贴壁扰条，两个齿盘相对设置，两个齿盘之间的中部通过至少一个扭板连接，两个齿盘的圆周方向上均布有旋向与扭板相反的多个贴壁扰条。本发明用于太阳能集热。</w:t>
            </w:r>
          </w:p>
        </w:tc>
        <w:tc>
          <w:tcPr>
            <w:tcW w:w="0" w:type="auto"/>
            <w:shd w:val="clear" w:color="auto" w:fill="auto"/>
            <w:vAlign w:val="center"/>
          </w:tcPr>
          <w:p w14:paraId="7C981F52">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王宏,韩晨,谷永杰,王浩鹏,遆曙光,杨存祥,李森,李金凤</w:t>
            </w:r>
          </w:p>
        </w:tc>
        <w:tc>
          <w:tcPr>
            <w:tcW w:w="0" w:type="auto"/>
            <w:shd w:val="clear" w:color="auto" w:fill="auto"/>
            <w:vAlign w:val="center"/>
          </w:tcPr>
          <w:p w14:paraId="45993526">
            <w:pPr>
              <w:keepNext w:val="0"/>
              <w:keepLines w:val="0"/>
              <w:pageBreakBefore w:val="0"/>
              <w:kinsoku/>
              <w:overflowPunct/>
              <w:topLinePunct w:val="0"/>
              <w:autoSpaceDE/>
              <w:autoSpaceDN/>
              <w:bidi w:val="0"/>
              <w:adjustRightInd/>
              <w:snapToGrid w:val="0"/>
              <w:spacing w:line="640" w:lineRule="exact"/>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长期使用权（10年）</w:t>
            </w:r>
          </w:p>
        </w:tc>
        <w:tc>
          <w:tcPr>
            <w:tcW w:w="0" w:type="auto"/>
            <w:shd w:val="clear" w:color="auto" w:fill="auto"/>
            <w:vAlign w:val="center"/>
          </w:tcPr>
          <w:p w14:paraId="5150A58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r>
              <w:rPr>
                <w:rFonts w:hint="eastAsia" w:ascii="仿宋" w:hAnsi="仿宋" w:eastAsia="仿宋" w:cs="仿宋"/>
                <w:sz w:val="21"/>
                <w:szCs w:val="21"/>
              </w:rPr>
              <w:t>技术许可</w:t>
            </w:r>
          </w:p>
          <w:p w14:paraId="206CCBC2">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c>
          <w:tcPr>
            <w:tcW w:w="0" w:type="auto"/>
            <w:shd w:val="clear" w:color="auto" w:fill="auto"/>
            <w:vAlign w:val="center"/>
          </w:tcPr>
          <w:p w14:paraId="139DC797">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3.</w:t>
            </w:r>
            <w:r>
              <w:rPr>
                <w:rFonts w:hint="eastAsia" w:ascii="仿宋" w:hAnsi="仿宋" w:eastAsia="仿宋" w:cs="仿宋"/>
                <w:sz w:val="21"/>
                <w:szCs w:val="21"/>
                <w:lang w:val="en-US" w:eastAsia="zh-CN"/>
              </w:rPr>
              <w:t>1</w:t>
            </w:r>
          </w:p>
        </w:tc>
        <w:tc>
          <w:tcPr>
            <w:tcW w:w="0" w:type="auto"/>
            <w:shd w:val="clear" w:color="auto" w:fill="auto"/>
            <w:vAlign w:val="center"/>
          </w:tcPr>
          <w:p w14:paraId="68A4B52F">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开封市中成空分设备成套有限公司</w:t>
            </w:r>
          </w:p>
        </w:tc>
        <w:tc>
          <w:tcPr>
            <w:tcW w:w="0" w:type="auto"/>
            <w:shd w:val="clear" w:color="auto" w:fill="auto"/>
            <w:vAlign w:val="center"/>
          </w:tcPr>
          <w:p w14:paraId="67EDA95E">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r>
      <w:tr w14:paraId="0FDC2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37E3093F">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p>
          <w:p w14:paraId="0ADDC23C">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p>
          <w:p w14:paraId="01ED12A6">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p>
          <w:p w14:paraId="74FF6AA0">
            <w:pPr>
              <w:keepNext w:val="0"/>
              <w:keepLines w:val="0"/>
              <w:pageBreakBefore w:val="0"/>
              <w:widowControl/>
              <w:shd w:val="clear" w:color="auto" w:fill="FFFFFF"/>
              <w:kinsoku/>
              <w:overflowPunct/>
              <w:topLinePunct w:val="0"/>
              <w:autoSpaceDE/>
              <w:autoSpaceDN/>
              <w:bidi w:val="0"/>
              <w:adjustRightInd/>
              <w:spacing w:before="105" w:after="105" w:line="640" w:lineRule="exact"/>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9</w:t>
            </w:r>
          </w:p>
        </w:tc>
        <w:tc>
          <w:tcPr>
            <w:tcW w:w="0" w:type="auto"/>
            <w:shd w:val="clear" w:color="auto" w:fill="auto"/>
            <w:vAlign w:val="center"/>
          </w:tcPr>
          <w:p w14:paraId="72EB7A07">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rPr>
              <w:t>一种石蜡-SEBS热塑性弹性体复合相变材料的制备方法</w:t>
            </w:r>
          </w:p>
        </w:tc>
        <w:tc>
          <w:tcPr>
            <w:tcW w:w="0" w:type="auto"/>
            <w:shd w:val="clear" w:color="auto" w:fill="auto"/>
            <w:vAlign w:val="center"/>
          </w:tcPr>
          <w:p w14:paraId="3C1CD932">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lang w:val="en-US" w:eastAsia="zh-CN" w:bidi="ar-SA"/>
              </w:rPr>
              <w:t>本发明公开了一种石蜡-SEBS热塑性弹性体复合相变材料的制备方法,所述石蜡-SEBS复合相变材料(按重量份)包括30-80份的相变石蜡和20-70份的SEBS系列弹性塑料。本发明的有益效果是,解决了目前柔性复合相变材料在市场上的空白,并且其吸附能力强,相变焓值大。另外,通过调配不同牌号的相变材料的质量比,可以得到相变温度可控的相变材料,进一步拓宽了石蜡基复合相变材料的应用领域,具备较好的经济效益。</w:t>
            </w:r>
          </w:p>
        </w:tc>
        <w:tc>
          <w:tcPr>
            <w:tcW w:w="0" w:type="auto"/>
            <w:shd w:val="clear" w:color="auto" w:fill="auto"/>
            <w:vAlign w:val="center"/>
          </w:tcPr>
          <w:p w14:paraId="51AD350A">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lang w:val="en-US" w:eastAsia="zh-CN" w:bidi="ar-SA"/>
              </w:rPr>
              <w:t>张琦，王玉静，张雪龄，宋俊，朱世权</w:t>
            </w:r>
          </w:p>
        </w:tc>
        <w:tc>
          <w:tcPr>
            <w:tcW w:w="0" w:type="auto"/>
            <w:shd w:val="clear" w:color="auto" w:fill="auto"/>
            <w:vAlign w:val="center"/>
          </w:tcPr>
          <w:p w14:paraId="623D782F">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长期使用权（10年）</w:t>
            </w:r>
          </w:p>
        </w:tc>
        <w:tc>
          <w:tcPr>
            <w:tcW w:w="0" w:type="auto"/>
            <w:shd w:val="clear" w:color="auto" w:fill="auto"/>
            <w:vAlign w:val="center"/>
          </w:tcPr>
          <w:p w14:paraId="007B424E">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技术许可</w:t>
            </w:r>
          </w:p>
        </w:tc>
        <w:tc>
          <w:tcPr>
            <w:tcW w:w="0" w:type="auto"/>
            <w:shd w:val="clear" w:color="auto" w:fill="auto"/>
            <w:vAlign w:val="center"/>
          </w:tcPr>
          <w:p w14:paraId="02544325">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kern w:val="2"/>
                <w:sz w:val="21"/>
                <w:szCs w:val="21"/>
                <w:lang w:val="en-US" w:eastAsia="zh-CN" w:bidi="ar-SA"/>
              </w:rPr>
            </w:pPr>
            <w:r>
              <w:rPr>
                <w:rFonts w:hint="eastAsia" w:ascii="仿宋" w:hAnsi="仿宋" w:eastAsia="仿宋" w:cs="仿宋"/>
                <w:sz w:val="21"/>
                <w:szCs w:val="21"/>
              </w:rPr>
              <w:t>3.</w:t>
            </w:r>
            <w:r>
              <w:rPr>
                <w:rFonts w:hint="eastAsia" w:ascii="仿宋" w:hAnsi="仿宋" w:eastAsia="仿宋" w:cs="仿宋"/>
                <w:sz w:val="21"/>
                <w:szCs w:val="21"/>
                <w:lang w:val="en-US" w:eastAsia="zh-CN"/>
              </w:rPr>
              <w:t>1</w:t>
            </w:r>
          </w:p>
        </w:tc>
        <w:tc>
          <w:tcPr>
            <w:tcW w:w="0" w:type="auto"/>
            <w:shd w:val="clear" w:color="auto" w:fill="auto"/>
            <w:vAlign w:val="center"/>
          </w:tcPr>
          <w:p w14:paraId="6BB935A2">
            <w:pPr>
              <w:keepNext w:val="0"/>
              <w:keepLines w:val="0"/>
              <w:pageBreakBefore w:val="0"/>
              <w:widowControl/>
              <w:kinsoku/>
              <w:wordWrap/>
              <w:overflowPunct/>
              <w:topLinePunct w:val="0"/>
              <w:autoSpaceDE/>
              <w:autoSpaceDN/>
              <w:bidi w:val="0"/>
              <w:adjustRightInd/>
              <w:snapToGrid/>
              <w:spacing w:line="640" w:lineRule="exact"/>
              <w:jc w:val="center"/>
              <w:textAlignment w:val="auto"/>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z w:val="21"/>
                <w:szCs w:val="21"/>
              </w:rPr>
              <w:t>河南</w:t>
            </w:r>
            <w:r>
              <w:rPr>
                <w:rFonts w:hint="eastAsia" w:ascii="仿宋" w:hAnsi="仿宋" w:eastAsia="仿宋" w:cs="仿宋"/>
                <w:sz w:val="21"/>
                <w:szCs w:val="21"/>
                <w:lang w:val="en-US" w:eastAsia="zh-CN"/>
              </w:rPr>
              <w:t>康菱机电设备</w:t>
            </w:r>
            <w:r>
              <w:rPr>
                <w:rFonts w:hint="eastAsia" w:ascii="仿宋" w:hAnsi="仿宋" w:eastAsia="仿宋" w:cs="仿宋"/>
                <w:sz w:val="21"/>
                <w:szCs w:val="21"/>
              </w:rPr>
              <w:t>有限公司</w:t>
            </w:r>
          </w:p>
        </w:tc>
        <w:tc>
          <w:tcPr>
            <w:tcW w:w="0" w:type="auto"/>
            <w:shd w:val="clear" w:color="auto" w:fill="auto"/>
            <w:vAlign w:val="center"/>
          </w:tcPr>
          <w:p w14:paraId="33FAB3EA">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kern w:val="2"/>
                <w:sz w:val="21"/>
                <w:szCs w:val="21"/>
                <w:lang w:val="en-US" w:eastAsia="zh-CN" w:bidi="ar-SA"/>
              </w:rPr>
            </w:pPr>
          </w:p>
        </w:tc>
      </w:tr>
    </w:tbl>
    <w:p w14:paraId="4E6D1497">
      <w:pPr>
        <w:keepNext w:val="0"/>
        <w:keepLines w:val="0"/>
        <w:pageBreakBefore w:val="0"/>
        <w:kinsoku/>
        <w:overflowPunct/>
        <w:topLinePunct w:val="0"/>
        <w:autoSpaceDE/>
        <w:autoSpaceDN/>
        <w:bidi w:val="0"/>
        <w:adjustRightInd/>
        <w:spacing w:line="640" w:lineRule="exact"/>
        <w:jc w:val="center"/>
        <w:rPr>
          <w:rFonts w:hint="eastAsia" w:ascii="仿宋" w:hAnsi="仿宋" w:eastAsia="仿宋" w:cs="仿宋"/>
          <w:sz w:val="21"/>
          <w:szCs w:val="21"/>
        </w:rPr>
      </w:pPr>
    </w:p>
    <w:p w14:paraId="4B69148B"/>
    <w:p w14:paraId="4491B35D">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MS Gothic">
    <w:panose1 w:val="020B0609070205080204"/>
    <w:charset w:val="80"/>
    <w:family w:val="modern"/>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6A56F8"/>
    <w:rsid w:val="00F328AD"/>
    <w:rsid w:val="0F2B62DD"/>
    <w:rsid w:val="1308507D"/>
    <w:rsid w:val="415E2C8C"/>
    <w:rsid w:val="472A04E7"/>
    <w:rsid w:val="48EC2551"/>
    <w:rsid w:val="4EE63B8D"/>
    <w:rsid w:val="50D852D8"/>
    <w:rsid w:val="58406388"/>
    <w:rsid w:val="771723D3"/>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15</Pages>
  <Words>2981</Words>
  <Characters>3049</Characters>
  <Lines>7</Lines>
  <Paragraphs>2</Paragraphs>
  <TotalTime>1</TotalTime>
  <ScaleCrop>false</ScaleCrop>
  <LinksUpToDate>false</LinksUpToDate>
  <CharactersWithSpaces>3126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2025-12-11T01:16:45Z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